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5B0573" w:rsidRDefault="005B0573">
      <w:pPr>
        <w:rPr>
          <w:vanish/>
          <w:sz w:val="6"/>
        </w:rPr>
      </w:pPr>
    </w:p>
    <w:p w:rsidR="005B0573" w:rsidRDefault="000D7988">
      <w:r>
        <w:rPr>
          <w:b/>
          <w:bCs/>
          <w:sz w:val="22"/>
        </w:rPr>
        <w:t>Nachtrag EG ZGB (Eval-KESR, Zweckverbände)</w:t>
      </w:r>
    </w:p>
    <w:p w:rsidR="005B0573" w:rsidRDefault="005B0573"/>
    <w:tbl>
      <w:tblPr>
        <w:tblW w:w="0pt" w:type="auto"/>
        <w:tblInd w:w="5.40pt" w:type="dxa"/>
        <w:tblLayout w:type="fixed"/>
        <w:tblCellMar>
          <w:top w:w="5.40pt" w:type="dxa"/>
          <w:bottom w:w="5.40pt" w:type="dxa"/>
        </w:tblCellMar>
        <w:tblLook w:firstRow="1" w:lastRow="0" w:firstColumn="1" w:lastColumn="0" w:noHBand="0" w:noVBand="1"/>
      </w:tblPr>
      <w:tblGrid>
        <w:gridCol w:w="7426"/>
        <w:gridCol w:w="7428"/>
      </w:tblGrid>
      <w:tr w:rsidR="005B0573">
        <w:trPr>
          <w:tblHeader/>
        </w:trPr>
        <w:tc>
          <w:tcPr>
            <w:tcW w:w="37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B0573" w:rsidRDefault="000D7988">
            <w:pPr>
              <w:pStyle w:val="TableContents"/>
              <w:rPr>
                <w:b/>
                <w:sz w:val="22"/>
              </w:rPr>
            </w:pPr>
            <w:r>
              <w:rPr>
                <w:b/>
                <w:sz w:val="22"/>
              </w:rPr>
              <w:t>Geltendes Recht</w:t>
            </w:r>
          </w:p>
        </w:tc>
        <w:tc>
          <w:tcPr>
            <w:tcW w:w="371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E0E0E0"/>
            <w:vAlign w:val="center"/>
          </w:tcPr>
          <w:p w:rsidR="005B0573" w:rsidRDefault="000D7988">
            <w:pPr>
              <w:pStyle w:val="TableContents"/>
            </w:pPr>
            <w:r>
              <w:rPr>
                <w:b/>
                <w:sz w:val="22"/>
              </w:rPr>
              <w:t>Vernehmlassungsentwurf des Regierungsrats vom 26. Januar 2021</w:t>
            </w:r>
          </w:p>
        </w:tc>
      </w:tr>
      <w:tr w:rsidR="005B0573">
        <w:tc>
          <w:tcPr>
            <w:tcW w:w="371.30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22"/>
              </w:rPr>
            </w:pPr>
          </w:p>
        </w:tc>
        <w:tc>
          <w:tcPr>
            <w:tcW w:w="371.4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b/>
                <w:bCs/>
                <w:sz w:val="22"/>
              </w:rPr>
              <w:t>Gesetz</w:t>
            </w:r>
            <w:r>
              <w:rPr>
                <w:b/>
                <w:bCs/>
                <w:sz w:val="22"/>
              </w:rPr>
              <w:br/>
              <w:t>betreffend die Einführung des Schweizerischen Zivilgesetzbuches</w:t>
            </w:r>
          </w:p>
        </w:tc>
      </w:tr>
      <w:tr w:rsidR="005B0573">
        <w:tc>
          <w:tcPr>
            <w:tcW w:w="371.30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Autor"/>
            </w:pPr>
          </w:p>
        </w:tc>
        <w:tc>
          <w:tcPr>
            <w:tcW w:w="371.4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Autor"/>
            </w:pPr>
            <w:r>
              <w:t>Der Kantonsrat des Kantons Obwalden</w:t>
            </w:r>
          </w:p>
        </w:tc>
      </w:tr>
      <w:tr w:rsidR="005B0573"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Aktion"/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Aktion"/>
            </w:pPr>
            <w:r>
              <w:t>beschliesst</w:t>
            </w:r>
          </w:p>
        </w:tc>
      </w:tr>
      <w:tr w:rsidR="005B0573">
        <w:tc>
          <w:tcPr>
            <w:tcW w:w="371.30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:rsidR="005B0573" w:rsidRDefault="005B0573"/>
        </w:tc>
        <w:tc>
          <w:tcPr>
            <w:tcW w:w="371.4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Abschnittstitel"/>
            </w:pPr>
            <w:r>
              <w:t>I.</w:t>
            </w:r>
          </w:p>
        </w:tc>
      </w:tr>
      <w:tr w:rsidR="005B0573">
        <w:tc>
          <w:tcPr>
            <w:tcW w:w="371.30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:rsidR="005B0573" w:rsidRDefault="005B0573"/>
        </w:tc>
        <w:tc>
          <w:tcPr>
            <w:tcW w:w="371.4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Nebenzitat"/>
            </w:pPr>
            <w:r>
              <w:t xml:space="preserve">Der Erlass GDB </w:t>
            </w:r>
            <w:hyperlink r:id="rId6" w:history="1">
              <w:r>
                <w:rPr>
                  <w:rStyle w:val="Hyperlink"/>
                </w:rPr>
                <w:t>210.1</w:t>
              </w:r>
            </w:hyperlink>
            <w:r>
              <w:t xml:space="preserve"> (Gesetz betreffend die Einführung des Schweizerischen Zivilgesetzbuches vom 30. April 1911) (Stand 1. Juni 2017) wird wie folgt geändert: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rPr>
                <w:sz w:val="19"/>
              </w:rPr>
            </w:pPr>
            <w:r>
              <w:rPr>
                <w:b/>
                <w:bCs/>
                <w:sz w:val="19"/>
              </w:rPr>
              <w:t>Art.  25</w:t>
            </w:r>
            <w:r>
              <w:rPr>
                <w:sz w:val="19"/>
              </w:rPr>
              <w:br/>
            </w:r>
            <w:r>
              <w:rPr>
                <w:sz w:val="16"/>
              </w:rPr>
              <w:t>Juristische Personen</w:t>
            </w:r>
          </w:p>
        </w:tc>
        <w:tc>
          <w:tcPr>
            <w:tcW w:w="371.4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rPr>
                <w:sz w:val="19"/>
              </w:rPr>
            </w:pPr>
            <w:r>
              <w:rPr>
                <w:sz w:val="19"/>
                <w:vertAlign w:val="superscript"/>
              </w:rPr>
              <w:t>1</w:t>
            </w:r>
            <w:r>
              <w:rPr>
                <w:sz w:val="19"/>
              </w:rPr>
              <w:t> Juristische Pers</w:t>
            </w:r>
            <w:r>
              <w:rPr>
                <w:sz w:val="19"/>
              </w:rPr>
              <w:t>önlichkeit erlangen gemäss Art. 59 des Zivilgesetzbuches:</w:t>
            </w: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  <w:rPr>
                <w:sz w:val="19"/>
              </w:rPr>
            </w:pPr>
            <w:r>
              <w:rPr>
                <w:sz w:val="19"/>
              </w:rPr>
              <w:t>1. die Einwohner-, Bürger- und Kirchgemeinden;</w:t>
            </w: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>1a. die Zweckverbände;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  <w:rPr>
                <w:sz w:val="19"/>
              </w:rPr>
            </w:pPr>
            <w:r>
              <w:rPr>
                <w:sz w:val="19"/>
              </w:rPr>
              <w:t>2. die Klöster und die kirchlichen Anstalten;</w:t>
            </w: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  <w:rPr>
                <w:sz w:val="19"/>
              </w:rPr>
            </w:pPr>
            <w:r>
              <w:rPr>
                <w:sz w:val="19"/>
              </w:rPr>
              <w:t>3. die Korporationen und Teilsamen, soweit sie ein Statutarrecht besitzen;</w:t>
            </w: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  <w:rPr>
                <w:sz w:val="19"/>
              </w:rPr>
            </w:pPr>
            <w:r>
              <w:rPr>
                <w:sz w:val="19"/>
              </w:rPr>
              <w:t>4. die Wuhrgenossenschaften und Genossenschaften gemäss Art. 114 des vorliegenden Gesetzes. Diese erlangen die Eigenschaft der juristischen Persönlichkeit durch den Erlass eines Reglementes abseite des Kantonsrates, beziehungsweise durch die regierungsr</w:t>
            </w:r>
            <w:r>
              <w:rPr>
                <w:sz w:val="19"/>
              </w:rPr>
              <w:t>ätliche Genehmigung eines von der Genossenschaft erlassenen Reglementes.</w:t>
            </w: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rPr>
                <w:sz w:val="19"/>
              </w:rPr>
            </w:pPr>
            <w:r>
              <w:rPr>
                <w:sz w:val="19"/>
                <w:vertAlign w:val="superscript"/>
              </w:rPr>
              <w:t>2</w:t>
            </w:r>
            <w:r>
              <w:rPr>
                <w:sz w:val="19"/>
              </w:rPr>
              <w:t xml:space="preserve"> Schon bestehende Genossenschaften letzterer Art können sich den Bestimmungen dieses Gesetzes unterstellen, wenn sie die Genehmigung ihrer Statuten durch den Regierungsrat </w:t>
            </w:r>
            <w:r>
              <w:rPr>
                <w:sz w:val="19"/>
              </w:rPr>
              <w:t>einholen.</w:t>
            </w: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</w:tr>
      <w:tr w:rsidR="005B0573">
        <w:trPr>
          <w:cantSplit/>
        </w:trPr>
        <w:tc>
          <w:tcPr>
            <w:tcW w:w="371.30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b/>
                <w:bCs/>
                <w:sz w:val="19"/>
              </w:rPr>
              <w:t>Art.  26a</w:t>
            </w:r>
            <w:r>
              <w:rPr>
                <w:sz w:val="19"/>
              </w:rPr>
              <w:br/>
            </w:r>
            <w:r>
              <w:rPr>
                <w:sz w:val="16"/>
              </w:rPr>
              <w:t>Zweckverbände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sz w:val="19"/>
                <w:vertAlign w:val="superscript"/>
              </w:rPr>
              <w:t>1</w:t>
            </w:r>
            <w:r>
              <w:rPr>
                <w:sz w:val="19"/>
              </w:rPr>
              <w:t> Die Gemeinden können zur gemeinsamen Erfüllung einer oder mehrerer öffentlicher Aufgaben Zweckverbände gründen.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sz w:val="19"/>
                <w:vertAlign w:val="superscript"/>
              </w:rPr>
              <w:t>2</w:t>
            </w:r>
            <w:r>
              <w:rPr>
                <w:sz w:val="19"/>
              </w:rPr>
              <w:t xml:space="preserve"> Zweckverbände sind Körperschaften des kantonalen öffentlichen Rechts. Mitglieder sind die </w:t>
            </w:r>
            <w:r>
              <w:rPr>
                <w:sz w:val="19"/>
              </w:rPr>
              <w:t>beigetretenen Gemeinden.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sz w:val="19"/>
                <w:vertAlign w:val="superscript"/>
              </w:rPr>
              <w:t>3</w:t>
            </w:r>
            <w:r>
              <w:rPr>
                <w:sz w:val="19"/>
              </w:rPr>
              <w:t> Die Statuten, die anderen rechtsetzenden Erlasse und die gestützt darauf gefassten Beschlüsse des Zweckverbands gehen dem Recht und den Beschlüssen der Verbandsgemeinden vor.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sz w:val="19"/>
                <w:vertAlign w:val="superscript"/>
              </w:rPr>
              <w:t>4</w:t>
            </w:r>
            <w:r>
              <w:rPr>
                <w:sz w:val="19"/>
              </w:rPr>
              <w:t xml:space="preserve"> Die rechtsetzenden Erlasse des Zweckverbands </w:t>
            </w:r>
            <w:r>
              <w:rPr>
                <w:sz w:val="19"/>
              </w:rPr>
              <w:t>unterliegen der Genehmigung durch den Regierungsrat.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b/>
                <w:bCs/>
                <w:sz w:val="19"/>
              </w:rPr>
              <w:t>Art.  26b</w:t>
            </w:r>
            <w:r>
              <w:rPr>
                <w:sz w:val="19"/>
              </w:rPr>
              <w:br/>
            </w:r>
            <w:r>
              <w:rPr>
                <w:sz w:val="16"/>
              </w:rPr>
              <w:t>Organe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sz w:val="19"/>
                <w:vertAlign w:val="superscript"/>
              </w:rPr>
              <w:t>1</w:t>
            </w:r>
            <w:r>
              <w:rPr>
                <w:sz w:val="19"/>
              </w:rPr>
              <w:t> Der Zweckverband verfügt über mindestens folgende Organe: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>1. die Stimmberechtigten der Verbandsgemeinden;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 xml:space="preserve">2. die Delegiertenversammlung, bestehend aus mindestens einer </w:t>
            </w:r>
            <w:r>
              <w:rPr>
                <w:sz w:val="19"/>
              </w:rPr>
              <w:t>delegierten Person pro Verbandsgemeinde (Gemeindevertretung); die Delegiertenversammlung tagt öffentlich;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>3. den Vorstand, bestehend aus mindestens drei Personen; diese dürfen nicht der Delegiertenversammlung angehören;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>4. das Rechnungsprüfungsorgan.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sz w:val="19"/>
                <w:vertAlign w:val="superscript"/>
              </w:rPr>
              <w:t>2</w:t>
            </w:r>
            <w:r>
              <w:rPr>
                <w:sz w:val="19"/>
              </w:rPr>
              <w:t> Die Stimmberechtigten der Verbandsgemeinden beschliessen mindestens über: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>1. den Beitritt, den Austritt und die Auflösung;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>2. die Statutenänderungen betreffend den Verbandszweck und die übertragenen Aufgaben;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 xml:space="preserve">3. die Ermächtigung der </w:t>
            </w:r>
            <w:r>
              <w:rPr>
                <w:sz w:val="19"/>
              </w:rPr>
              <w:t>Delegiertenversammlung, Rechtssätze zu erlassen;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>4. die Befugnis des Vorstands, Entscheide der Verwaltungsrechtspflege zu erlassen.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b/>
                <w:bCs/>
                <w:sz w:val="19"/>
              </w:rPr>
              <w:t>Art.  26c</w:t>
            </w:r>
            <w:r>
              <w:rPr>
                <w:sz w:val="19"/>
              </w:rPr>
              <w:br/>
            </w:r>
            <w:r>
              <w:rPr>
                <w:sz w:val="16"/>
              </w:rPr>
              <w:t>Statuten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sz w:val="19"/>
                <w:vertAlign w:val="superscript"/>
              </w:rPr>
              <w:t>1</w:t>
            </w:r>
            <w:r>
              <w:rPr>
                <w:sz w:val="19"/>
              </w:rPr>
              <w:t> Die Statuten enthalten mindestens Bestimmungen über: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>1. den Namen und den Sitz;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 xml:space="preserve">2. den Zweck </w:t>
            </w:r>
            <w:r>
              <w:rPr>
                <w:sz w:val="19"/>
              </w:rPr>
              <w:t>und die übertragenen Aufgaben;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>3. die Organe (Zusammensetzung und wichtigste Zuständigkeiten);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>4. das Stimmrecht der Gemeindevertretungen in der Delegiertenversammlung;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>5. die wichtigen Beschlüsse, die Einstimmigkeit erfordern;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>6. die Finanzierung,</w:t>
            </w:r>
            <w:r>
              <w:rPr>
                <w:sz w:val="19"/>
              </w:rPr>
              <w:t xml:space="preserve"> den Finanzhaushalt, den Kostenverteiler;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>7. die Änderung der Statuten;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>8. den Austritt und die vermögensrechtlichen Folgen;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>9. die Auflösung und die Liquidation.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sz w:val="19"/>
                <w:vertAlign w:val="superscript"/>
              </w:rPr>
              <w:t>2</w:t>
            </w:r>
            <w:r>
              <w:rPr>
                <w:sz w:val="19"/>
              </w:rPr>
              <w:t> Die Statuten enthalten gegebenenfalls Bestimmungen über: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 xml:space="preserve">1. die Ermächtigung der </w:t>
            </w:r>
            <w:r>
              <w:rPr>
                <w:sz w:val="19"/>
              </w:rPr>
              <w:t>Delegiertenversammlung, Rechtssätze zu erlassen;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>2. die Befugnis des Vorstands, Entscheide der Verwaltungsrechtspflege zu erlassen.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sz w:val="19"/>
                <w:vertAlign w:val="superscript"/>
              </w:rPr>
              <w:t>3</w:t>
            </w:r>
            <w:r>
              <w:rPr>
                <w:sz w:val="19"/>
              </w:rPr>
              <w:t> Enthalten die Statuten keine Regelung, sind die Artikel 60 ff. des Schweizerischen Zivilgesetzbuches über den Verein a</w:t>
            </w:r>
            <w:r>
              <w:rPr>
                <w:sz w:val="19"/>
              </w:rPr>
              <w:t>ls kantonales öffentliches Recht subsidiär anwendbar.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b/>
                <w:bCs/>
                <w:sz w:val="19"/>
              </w:rPr>
              <w:t>Art.  26d</w:t>
            </w:r>
            <w:r>
              <w:rPr>
                <w:sz w:val="19"/>
              </w:rPr>
              <w:br/>
            </w:r>
            <w:r>
              <w:rPr>
                <w:sz w:val="16"/>
              </w:rPr>
              <w:t>Wichtige Beschlüsse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sz w:val="19"/>
                <w:vertAlign w:val="superscript"/>
              </w:rPr>
              <w:t>1</w:t>
            </w:r>
            <w:r>
              <w:rPr>
                <w:sz w:val="19"/>
              </w:rPr>
              <w:t> Folgende Beschlüsse bedürfen der Einstimmigkeit der Delegiertenversammlung und soweit zuständig der Zustimmung der Stimmberechtigten aller Verbandsgemeinden: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>1. die</w:t>
            </w:r>
            <w:r>
              <w:rPr>
                <w:sz w:val="19"/>
              </w:rPr>
              <w:t xml:space="preserve"> Statutenänderungen betreffend den Verbandszweck und die übertragenen Aufgaben;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>2. die Statutenänderungen betreffend: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>a. die Finanzierung, den Finanzhaushalt und den Kostenverteiler;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>b. die Auflösung und die Liquidation;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 xml:space="preserve">c. den Austritt und die </w:t>
            </w:r>
            <w:r>
              <w:rPr>
                <w:sz w:val="19"/>
              </w:rPr>
              <w:t>vermögensrechtlichen Folgen;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ind w:start="7.45pt" w:end="0.15pt" w:hanging="9.45pt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  <w:ind w:start="7.45pt" w:end="0.15pt" w:hanging="9.45pt"/>
            </w:pPr>
            <w:r>
              <w:rPr>
                <w:sz w:val="19"/>
              </w:rPr>
              <w:t>d. die Haftung.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b/>
                <w:bCs/>
                <w:sz w:val="19"/>
              </w:rPr>
              <w:t>Art.  26e</w:t>
            </w:r>
            <w:r>
              <w:rPr>
                <w:sz w:val="19"/>
              </w:rPr>
              <w:br/>
            </w:r>
            <w:r>
              <w:rPr>
                <w:sz w:val="16"/>
              </w:rPr>
              <w:t>Gründung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sz w:val="19"/>
                <w:vertAlign w:val="superscript"/>
              </w:rPr>
              <w:t>1</w:t>
            </w:r>
            <w:r>
              <w:rPr>
                <w:sz w:val="19"/>
              </w:rPr>
              <w:t xml:space="preserve"> Die Statuten treten nach Ablauf eines Monats in Kraft, nachdem die Stimmberechtigten der Verbandsgemeinden über den Beitritt entschieden haben und die Genehmigung der Statuten durch </w:t>
            </w:r>
            <w:r>
              <w:rPr>
                <w:sz w:val="19"/>
              </w:rPr>
              <w:t>den Regierungsrat erfolgt ist.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sz w:val="19"/>
                <w:vertAlign w:val="superscript"/>
              </w:rPr>
              <w:t>2</w:t>
            </w:r>
            <w:r>
              <w:rPr>
                <w:sz w:val="19"/>
              </w:rPr>
              <w:t> Mit Inkrafttreten der Statuten erhält der Zweckverband Rechtspersönlichkeit.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sz w:val="19"/>
                <w:vertAlign w:val="superscript"/>
              </w:rPr>
              <w:t>3</w:t>
            </w:r>
            <w:r>
              <w:rPr>
                <w:sz w:val="19"/>
              </w:rPr>
              <w:t xml:space="preserve"> Mit Erlangen der Rechtspersönlichkeit gewährleisten die Verbandsgemeinden die Liquidität des Zweckverbands, allenfalls durch </w:t>
            </w:r>
            <w:r>
              <w:rPr>
                <w:sz w:val="19"/>
              </w:rPr>
              <w:t>Vorschusszahlungen nach den mutmasslich zu erwartenden Kosten.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b/>
                <w:bCs/>
                <w:sz w:val="19"/>
              </w:rPr>
              <w:t>Art.  26f</w:t>
            </w:r>
            <w:r>
              <w:rPr>
                <w:sz w:val="19"/>
              </w:rPr>
              <w:br/>
            </w:r>
            <w:r>
              <w:rPr>
                <w:sz w:val="16"/>
              </w:rPr>
              <w:t>Rechtsmittel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sz w:val="19"/>
                <w:vertAlign w:val="superscript"/>
              </w:rPr>
              <w:t>1</w:t>
            </w:r>
            <w:r>
              <w:rPr>
                <w:sz w:val="19"/>
              </w:rPr>
              <w:t> Gegen die Entscheide des Vorstands oder des Gemeinderats kann binnen zwanzig Tagen beim Regierungsrat Beschwerde eingereicht werden.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sz w:val="19"/>
                <w:vertAlign w:val="superscript"/>
              </w:rPr>
              <w:t>2</w:t>
            </w:r>
            <w:r>
              <w:rPr>
                <w:sz w:val="19"/>
              </w:rPr>
              <w:t xml:space="preserve"> Die Statuten können </w:t>
            </w:r>
            <w:r>
              <w:rPr>
                <w:sz w:val="19"/>
              </w:rPr>
              <w:t>vorsehen, dass die Entscheid des Vorstands zuerst mit Beschwerde beim zuständigen Gemeinderat anzufechten sind.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b/>
                <w:bCs/>
                <w:sz w:val="19"/>
              </w:rPr>
              <w:t>Art.  26g</w:t>
            </w:r>
            <w:r>
              <w:rPr>
                <w:sz w:val="19"/>
              </w:rPr>
              <w:br/>
            </w:r>
            <w:r>
              <w:rPr>
                <w:sz w:val="16"/>
              </w:rPr>
              <w:t>Haftung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sz w:val="19"/>
                <w:vertAlign w:val="superscript"/>
              </w:rPr>
              <w:t>1</w:t>
            </w:r>
            <w:r>
              <w:rPr>
                <w:sz w:val="19"/>
              </w:rPr>
              <w:t xml:space="preserve"> Für die Verbindlichkeiten des Zweckverbands haftet in erster Linie das Verbandsvermögen. Bietet dieses keine </w:t>
            </w:r>
            <w:r>
              <w:rPr>
                <w:sz w:val="19"/>
              </w:rPr>
              <w:t>ausreichende Deckung, haften die Verbandsgemeinden solidarisch.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sz w:val="19"/>
                <w:vertAlign w:val="superscript"/>
              </w:rPr>
              <w:t>2</w:t>
            </w:r>
            <w:r>
              <w:rPr>
                <w:sz w:val="19"/>
              </w:rPr>
              <w:t> Die Verbandsgemeinden haften unter sich anteilsmässig nach ihrer Stimmkraft im Zweckverband, sofern die Statuten nichts anderes bestimmen.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sz w:val="19"/>
                <w:vertAlign w:val="superscript"/>
              </w:rPr>
              <w:t>3</w:t>
            </w:r>
            <w:r>
              <w:rPr>
                <w:sz w:val="19"/>
              </w:rPr>
              <w:t> Im Übrigen gilt das Haftungsgesetz</w:t>
            </w:r>
            <w:r>
              <w:rPr>
                <w:rStyle w:val="Funotenzeichen"/>
                <w:sz w:val="19"/>
              </w:rPr>
              <w:footnoteReference w:id="1"/>
            </w:r>
            <w:r>
              <w:rPr>
                <w:rStyle w:val="Funotenzeichen"/>
                <w:sz w:val="19"/>
              </w:rPr>
              <w:t>)</w:t>
            </w:r>
            <w:r>
              <w:rPr>
                <w:sz w:val="19"/>
              </w:rPr>
              <w:t>. Vorbeha</w:t>
            </w:r>
            <w:r>
              <w:rPr>
                <w:sz w:val="19"/>
              </w:rPr>
              <w:t>lten bleiben besondere gesetzliche Bestimmungen des eidgenössischen und kantonalen Rechts.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b/>
                <w:bCs/>
                <w:sz w:val="19"/>
              </w:rPr>
              <w:t>Art.  182b</w:t>
            </w:r>
            <w:r>
              <w:rPr>
                <w:sz w:val="19"/>
              </w:rPr>
              <w:br/>
            </w:r>
            <w:r>
              <w:rPr>
                <w:sz w:val="16"/>
              </w:rPr>
              <w:t>Übergangsbestimmung für Zweckverbände</w:t>
            </w:r>
          </w:p>
        </w:tc>
      </w:tr>
      <w:tr w:rsidR="005B0573">
        <w:trPr>
          <w:cantSplit/>
        </w:trPr>
        <w:tc>
          <w:tcPr>
            <w:tcW w:w="371.30pt" w:type="dxa"/>
            <w:tcBorders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sz w:val="19"/>
                <w:vertAlign w:val="superscript"/>
              </w:rPr>
              <w:t>1</w:t>
            </w:r>
            <w:r>
              <w:rPr>
                <w:sz w:val="19"/>
              </w:rPr>
              <w:t xml:space="preserve"> Die Zweckverbände haben ihre Statuten innert zehn Jahren nach Inkrafttreten der Änderung vom … an die </w:t>
            </w:r>
            <w:r>
              <w:rPr>
                <w:sz w:val="19"/>
              </w:rPr>
              <w:t>Mindestvorgaben in den Artikeln 25 und 26a bis 26g dieses Gesetzes anzupassen</w:t>
            </w:r>
          </w:p>
        </w:tc>
      </w:tr>
      <w:tr w:rsidR="005B0573">
        <w:tc>
          <w:tcPr>
            <w:tcW w:w="371.30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:rsidR="005B0573" w:rsidRDefault="005B0573"/>
        </w:tc>
        <w:tc>
          <w:tcPr>
            <w:tcW w:w="371.4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Abschnittstitel"/>
            </w:pPr>
            <w:r>
              <w:t>II.</w:t>
            </w:r>
          </w:p>
        </w:tc>
      </w:tr>
      <w:tr w:rsidR="005B0573">
        <w:tc>
          <w:tcPr>
            <w:tcW w:w="371.30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:rsidR="005B0573" w:rsidRDefault="000D7988">
            <w:pPr>
              <w:pStyle w:val="EmptySectionRemark"/>
            </w:pPr>
            <w:r>
              <w:t>     </w:t>
            </w:r>
          </w:p>
        </w:tc>
        <w:tc>
          <w:tcPr>
            <w:tcW w:w="371.4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EmptySectionRemark"/>
            </w:pPr>
            <w:r>
              <w:t>Keine Fremdänderungen.</w:t>
            </w:r>
          </w:p>
        </w:tc>
      </w:tr>
      <w:tr w:rsidR="005B0573">
        <w:tc>
          <w:tcPr>
            <w:tcW w:w="371.30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:rsidR="005B0573" w:rsidRDefault="005B0573"/>
        </w:tc>
        <w:tc>
          <w:tcPr>
            <w:tcW w:w="371.4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Abschnittstitel"/>
            </w:pPr>
            <w:r>
              <w:t>III.</w:t>
            </w:r>
          </w:p>
        </w:tc>
      </w:tr>
      <w:tr w:rsidR="005B0573">
        <w:tc>
          <w:tcPr>
            <w:tcW w:w="371.30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:rsidR="005B0573" w:rsidRDefault="000D7988">
            <w:pPr>
              <w:pStyle w:val="EmptySectionRemark"/>
            </w:pPr>
            <w:r>
              <w:t>     </w:t>
            </w:r>
          </w:p>
        </w:tc>
        <w:tc>
          <w:tcPr>
            <w:tcW w:w="371.4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EmptySectionRemark"/>
            </w:pPr>
            <w:r>
              <w:t>Keine Fremdaufhebungen.</w:t>
            </w:r>
          </w:p>
        </w:tc>
      </w:tr>
      <w:tr w:rsidR="005B0573">
        <w:tc>
          <w:tcPr>
            <w:tcW w:w="371.30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:rsidR="005B0573" w:rsidRDefault="005B0573"/>
        </w:tc>
        <w:tc>
          <w:tcPr>
            <w:tcW w:w="371.4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Abschnittstitel"/>
            </w:pPr>
            <w:r>
              <w:t>IV.</w:t>
            </w:r>
          </w:p>
        </w:tc>
      </w:tr>
      <w:tr w:rsidR="005B0573">
        <w:tc>
          <w:tcPr>
            <w:tcW w:w="371.30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:rsidR="005B0573" w:rsidRDefault="005B0573"/>
        </w:tc>
        <w:tc>
          <w:tcPr>
            <w:tcW w:w="371.4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sz w:val="19"/>
              </w:rPr>
              <w:t xml:space="preserve">Der Regierungsrat bestimmt, wann dieser Nachtrag in Kraft tritt. Er unterliegt dem fakultativen </w:t>
            </w:r>
            <w:r>
              <w:rPr>
                <w:sz w:val="19"/>
              </w:rPr>
              <w:t>Referendum und ist dem Bund zur Kenntnis zu bringen.</w:t>
            </w:r>
            <w:r>
              <w:rPr>
                <w:rStyle w:val="Funotenzeichen"/>
                <w:sz w:val="19"/>
              </w:rPr>
              <w:footnoteReference w:id="2"/>
            </w:r>
            <w:r>
              <w:rPr>
                <w:rStyle w:val="Funotenzeichen"/>
                <w:sz w:val="19"/>
              </w:rPr>
              <w:t>)</w:t>
            </w:r>
          </w:p>
        </w:tc>
      </w:tr>
      <w:tr w:rsidR="005B0573">
        <w:tc>
          <w:tcPr>
            <w:tcW w:w="371.30pt" w:type="dxa"/>
            <w:tcBorders>
              <w:top w:val="single" w:sz="4" w:space="0" w:color="000000"/>
              <w:start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sz w:val="19"/>
              </w:rPr>
              <w:t>Sarnen, ...</w:t>
            </w:r>
          </w:p>
        </w:tc>
      </w:tr>
      <w:tr w:rsidR="005B0573">
        <w:tc>
          <w:tcPr>
            <w:tcW w:w="371.30pt" w:type="dxa"/>
            <w:tcBorders>
              <w:start w:val="single" w:sz="4" w:space="0" w:color="000000"/>
              <w:bottom w:val="single" w:sz="4" w:space="0" w:color="000000"/>
            </w:tcBorders>
            <w:shd w:val="clear" w:color="auto" w:fill="auto"/>
          </w:tcPr>
          <w:p w:rsidR="005B0573" w:rsidRDefault="005B0573">
            <w:pPr>
              <w:pStyle w:val="TableContents"/>
              <w:rPr>
                <w:sz w:val="19"/>
              </w:rPr>
            </w:pPr>
          </w:p>
        </w:tc>
        <w:tc>
          <w:tcPr>
            <w:tcW w:w="371.40pt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</w:tcPr>
          <w:p w:rsidR="005B0573" w:rsidRDefault="000D7988">
            <w:pPr>
              <w:pStyle w:val="TableContents"/>
            </w:pPr>
            <w:r>
              <w:rPr>
                <w:sz w:val="19"/>
              </w:rPr>
              <w:t>Im Namen des Kantonsrats</w:t>
            </w:r>
            <w:r>
              <w:rPr>
                <w:sz w:val="19"/>
              </w:rPr>
              <w:br/>
              <w:t>Die Ratspräsidentin:</w:t>
            </w:r>
            <w:r>
              <w:rPr>
                <w:sz w:val="19"/>
              </w:rPr>
              <w:br/>
              <w:t>Der Ratssekretär:</w:t>
            </w:r>
          </w:p>
        </w:tc>
      </w:tr>
    </w:tbl>
    <w:p w:rsidR="005B0573" w:rsidRDefault="005B0573"/>
    <w:sectPr w:rsidR="005B0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41.90pt" w:h="595.30pt" w:orient="landscape"/>
      <w:pgMar w:top="56.65pt" w:right="42.50pt" w:bottom="42.50pt" w:left="56.70pt" w:header="42.50pt" w:footer="28.35pt" w:gutter="0pt"/>
      <w:cols w:space="36pt"/>
      <w:titlePg/>
      <w:docGrid w:linePitch="245" w:charSpace="921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D7988" w:rsidRDefault="000D7988">
      <w:r>
        <w:separator/>
      </w:r>
    </w:p>
  </w:endnote>
  <w:endnote w:type="continuationSeparator" w:id="0">
    <w:p w:rsidR="000D7988" w:rsidRDefault="000D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B0573" w:rsidRDefault="000D7988">
    <w:pPr>
      <w:pStyle w:val="Fuzeile"/>
    </w:pPr>
    <w:r>
      <w:rPr>
        <w:sz w:val="19"/>
      </w:rPr>
      <w:fldChar w:fldCharType="begin"/>
    </w:r>
    <w:r>
      <w:rPr>
        <w:sz w:val="19"/>
      </w:rPr>
      <w:instrText xml:space="preserve"> PAGE </w:instrText>
    </w:r>
    <w:r>
      <w:rPr>
        <w:sz w:val="19"/>
      </w:rPr>
      <w:fldChar w:fldCharType="separate"/>
    </w:r>
    <w:r w:rsidR="00017B6A">
      <w:rPr>
        <w:noProof/>
        <w:sz w:val="19"/>
      </w:rPr>
      <w:t>4</w:t>
    </w:r>
    <w:r>
      <w:rPr>
        <w:sz w:val="19"/>
      </w:rPr>
      <w:fldChar w:fldCharType="end"/>
    </w:r>
    <w:r>
      <w:rPr>
        <w:sz w:val="19"/>
      </w:rPr>
      <w:t xml:space="preserve"> 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B0573" w:rsidRDefault="000D7988">
    <w:pPr>
      <w:pStyle w:val="Fuzeile"/>
    </w:pPr>
    <w:r>
      <w:rPr>
        <w:sz w:val="19"/>
      </w:rPr>
      <w:fldChar w:fldCharType="begin"/>
    </w:r>
    <w:r>
      <w:rPr>
        <w:sz w:val="19"/>
      </w:rPr>
      <w:instrText xml:space="preserve"> PAGE </w:instrText>
    </w:r>
    <w:r>
      <w:rPr>
        <w:sz w:val="19"/>
      </w:rPr>
      <w:fldChar w:fldCharType="separate"/>
    </w:r>
    <w:r w:rsidR="00017B6A">
      <w:rPr>
        <w:noProof/>
        <w:sz w:val="19"/>
      </w:rPr>
      <w:t>3</w:t>
    </w:r>
    <w:r>
      <w:rPr>
        <w:sz w:val="19"/>
      </w:rPr>
      <w:fldChar w:fldCharType="end"/>
    </w:r>
    <w:r>
      <w:rPr>
        <w:sz w:val="19"/>
      </w:rPr>
      <w:t xml:space="preserve"> </w:t>
    </w:r>
  </w:p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B0573" w:rsidRDefault="005B0573">
    <w:pPr>
      <w:pStyle w:val="Fuzeile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D7988" w:rsidRDefault="000D7988">
      <w:r>
        <w:separator/>
      </w:r>
    </w:p>
  </w:footnote>
  <w:footnote w:type="continuationSeparator" w:id="0">
    <w:p w:rsidR="000D7988" w:rsidRDefault="000D7988">
      <w:r>
        <w:continuationSeparator/>
      </w:r>
    </w:p>
  </w:footnote>
  <w:footnote w:id="1">
    <w:p w:rsidR="005B0573" w:rsidRDefault="000D7988">
      <w:pPr>
        <w:pStyle w:val="Funotentext"/>
      </w:pPr>
      <w:r>
        <w:rPr>
          <w:rStyle w:val="FootnoteCharacters"/>
        </w:rPr>
        <w:footnoteRef/>
      </w:r>
      <w:r>
        <w:rPr>
          <w:vertAlign w:val="superscript"/>
        </w:rPr>
        <w:t>)</w:t>
      </w:r>
      <w:r>
        <w:tab/>
        <w:t xml:space="preserve">GDB </w:t>
      </w:r>
      <w:hyperlink r:id="rId1" w:history="1">
        <w:r>
          <w:rPr>
            <w:rStyle w:val="Hyperlink"/>
          </w:rPr>
          <w:t>130.3</w:t>
        </w:r>
      </w:hyperlink>
    </w:p>
  </w:footnote>
  <w:footnote w:id="2">
    <w:p w:rsidR="005B0573" w:rsidRDefault="000D7988">
      <w:pPr>
        <w:pStyle w:val="Funotentext"/>
      </w:pPr>
      <w:r>
        <w:rPr>
          <w:rStyle w:val="FootnoteCharacters"/>
        </w:rPr>
        <w:footnoteRef/>
      </w:r>
      <w:r>
        <w:rPr>
          <w:vertAlign w:val="superscript"/>
        </w:rPr>
        <w:t>)</w:t>
      </w:r>
      <w:r>
        <w:tab/>
        <w:t>Art. 52 Abs. 4 Schlusstitel ZGB</w:t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B0573" w:rsidRDefault="005B0573">
    <w:pPr>
      <w:pStyle w:val="Kopfzeile"/>
      <w:spacing w:line="12pt" w:lineRule="exact"/>
      <w:jc w:val="center"/>
      <w:rPr>
        <w:sz w:val="22"/>
      </w:rPr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B0573" w:rsidRDefault="005B0573">
    <w:pPr>
      <w:pStyle w:val="Kopfzeile"/>
      <w:spacing w:line="12pt" w:lineRule="exact"/>
      <w:jc w:val="center"/>
      <w:rPr>
        <w:sz w:val="22"/>
      </w:rPr>
    </w:pP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B0573" w:rsidRDefault="000D7988">
    <w:pPr>
      <w:pStyle w:val="Kopfzeile"/>
      <w:spacing w:line="12pt" w:lineRule="exact"/>
      <w:jc w:val="center"/>
    </w:pPr>
    <w:r>
      <w:rPr>
        <w:sz w:val="22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%"/>
  <w:embedSystemFonts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.45pt"/>
  <w:autoHyphenation/>
  <w:hyphenationZone w:val="21.25pt"/>
  <w:defaultTableStyle w:val="Standard"/>
  <w:evenAndOddHeaders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73"/>
    <w:rsid w:val="00017B6A"/>
    <w:rsid w:val="000D7988"/>
    <w:rsid w:val="005B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;"/>
  <w15:docId w15:val="{58A0E064-5655-4C2E-9B5E-7589745119F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keepLines/>
      <w:widowControl w:val="0"/>
      <w:tabs>
        <w:tab w:val="end" w:pos="742.70pt"/>
      </w:tabs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00"/>
      <w:u w:val="single"/>
      <w:shd w:val="clear" w:color="auto" w:fill="auto"/>
    </w:rPr>
  </w:style>
  <w:style w:type="character" w:styleId="Funotenzeichen">
    <w:name w:val="footnote reference"/>
    <w:rPr>
      <w:b w:val="0"/>
      <w:shd w:val="clear" w:color="auto" w:fill="auto"/>
      <w:vertAlign w:val="superscript"/>
    </w:rPr>
  </w:style>
  <w:style w:type="character" w:customStyle="1" w:styleId="FootnoteCharacters">
    <w:name w:val="Footnote Characters"/>
    <w:rPr>
      <w:rFonts w:ascii="Arial" w:hAnsi="Arial"/>
      <w:vertAlign w:val="superscript"/>
    </w:rPr>
  </w:style>
  <w:style w:type="character" w:styleId="Endnotenzeichen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Autor">
    <w:name w:val="Autor"/>
    <w:basedOn w:val="Standard"/>
    <w:rPr>
      <w:i/>
      <w:iCs/>
    </w:rPr>
  </w:style>
  <w:style w:type="paragraph" w:customStyle="1" w:styleId="Aktion">
    <w:name w:val="Aktion"/>
    <w:basedOn w:val="Standard"/>
    <w:rPr>
      <w:i/>
      <w:iCs/>
    </w:rPr>
  </w:style>
  <w:style w:type="paragraph" w:customStyle="1" w:styleId="EmptySectionRemark">
    <w:name w:val="Empty_Section_Remark"/>
    <w:basedOn w:val="Standard"/>
    <w:rPr>
      <w:i/>
      <w:iCs/>
    </w:rPr>
  </w:style>
  <w:style w:type="paragraph" w:customStyle="1" w:styleId="StandardvorAufzhlung">
    <w:name w:val="Standard vor Aufzählung"/>
    <w:basedOn w:val="Standard"/>
  </w:style>
  <w:style w:type="paragraph" w:customStyle="1" w:styleId="StandardvorTabelle">
    <w:name w:val="Standard vor Tabelle"/>
    <w:basedOn w:val="Standard"/>
  </w:style>
  <w:style w:type="paragraph" w:styleId="Kopfzeile">
    <w:name w:val="header"/>
    <w:pPr>
      <w:widowControl w:val="0"/>
      <w:tabs>
        <w:tab w:val="end" w:pos="742.70pt"/>
      </w:tabs>
      <w:suppressAutoHyphens/>
    </w:pPr>
    <w:rPr>
      <w:rFonts w:ascii="Arial" w:hAnsi="Arial"/>
      <w:sz w:val="18"/>
    </w:rPr>
  </w:style>
  <w:style w:type="paragraph" w:styleId="Fuzeile">
    <w:name w:val="footer"/>
    <w:basedOn w:val="Kopfzeile"/>
  </w:style>
  <w:style w:type="paragraph" w:customStyle="1" w:styleId="Erlasstitel">
    <w:name w:val="Erlasstitel"/>
    <w:basedOn w:val="Standard"/>
    <w:next w:val="Datum1"/>
    <w:pPr>
      <w:keepNext/>
      <w:suppressAutoHyphens/>
      <w:spacing w:before="12pt" w:after="12pt"/>
    </w:pPr>
    <w:rPr>
      <w:b/>
      <w:sz w:val="24"/>
    </w:rPr>
  </w:style>
  <w:style w:type="paragraph" w:customStyle="1" w:styleId="Datum1">
    <w:name w:val="Datum1"/>
    <w:basedOn w:val="Standard"/>
    <w:next w:val="Autor"/>
    <w:pPr>
      <w:keepNext/>
      <w:pBdr>
        <w:top w:val="none" w:sz="0" w:space="0" w:color="000000"/>
        <w:left w:val="none" w:sz="0" w:space="0" w:color="000000"/>
        <w:bottom w:val="single" w:sz="4" w:space="10" w:color="000000"/>
        <w:right w:val="none" w:sz="0" w:space="0" w:color="000000"/>
      </w:pBdr>
      <w:spacing w:after="12pt"/>
      <w:ind w:start="1.40pt" w:end="1.40pt"/>
    </w:pPr>
    <w:rPr>
      <w:position w:val="2"/>
    </w:rPr>
  </w:style>
  <w:style w:type="paragraph" w:customStyle="1" w:styleId="Grundlage">
    <w:name w:val="Grundlage"/>
    <w:basedOn w:val="Standard"/>
    <w:next w:val="Aktion"/>
    <w:pPr>
      <w:spacing w:before="12pt" w:after="2pt"/>
    </w:pPr>
  </w:style>
  <w:style w:type="paragraph" w:customStyle="1" w:styleId="Schluss">
    <w:name w:val="Schluss"/>
    <w:basedOn w:val="Standard"/>
    <w:pPr>
      <w:tabs>
        <w:tab w:val="clear" w:pos="742.70pt"/>
        <w:tab w:val="start" w:pos="306.20pt"/>
      </w:tabs>
      <w:spacing w:before="24pt" w:after="2pt"/>
      <w:ind w:start="153.10pt" w:hanging="153.10pt"/>
    </w:pPr>
  </w:style>
  <w:style w:type="paragraph" w:customStyle="1" w:styleId="Nebenzitat">
    <w:name w:val="Nebenzitat"/>
    <w:basedOn w:val="Standard"/>
    <w:rPr>
      <w:b/>
    </w:rPr>
  </w:style>
  <w:style w:type="paragraph" w:customStyle="1" w:styleId="Abschnittstitel">
    <w:name w:val="Abschnittstitel"/>
    <w:basedOn w:val="Standard"/>
    <w:pPr>
      <w:keepNext/>
      <w:suppressAutoHyphens/>
    </w:pPr>
    <w:rPr>
      <w:b/>
      <w:sz w:val="22"/>
    </w:rPr>
  </w:style>
  <w:style w:type="paragraph" w:customStyle="1" w:styleId="TitelStufe1">
    <w:name w:val="Titel Stufe 1"/>
    <w:basedOn w:val="Standard"/>
    <w:next w:val="Artikel"/>
    <w:pPr>
      <w:keepNext/>
      <w:suppressAutoHyphens/>
      <w:spacing w:before="18pt"/>
    </w:pPr>
    <w:rPr>
      <w:b/>
      <w:sz w:val="22"/>
    </w:rPr>
  </w:style>
  <w:style w:type="paragraph" w:customStyle="1" w:styleId="TitelStufe2">
    <w:name w:val="Titel Stufe 2"/>
    <w:basedOn w:val="TitelStufe1"/>
    <w:next w:val="Artikel"/>
    <w:rPr>
      <w:b w:val="0"/>
      <w:i/>
    </w:rPr>
  </w:style>
  <w:style w:type="paragraph" w:customStyle="1" w:styleId="TitelStufe3">
    <w:name w:val="Titel Stufe 3"/>
    <w:basedOn w:val="TitelStufe2"/>
    <w:next w:val="Artikel"/>
  </w:style>
  <w:style w:type="paragraph" w:customStyle="1" w:styleId="TitelStufe4">
    <w:name w:val="Titel Stufe 4"/>
    <w:basedOn w:val="TitelStufe2"/>
    <w:next w:val="Artikel"/>
  </w:style>
  <w:style w:type="paragraph" w:customStyle="1" w:styleId="TitelStufe5">
    <w:name w:val="Titel Stufe 5"/>
    <w:basedOn w:val="TitelStufe2"/>
    <w:next w:val="Artikel"/>
  </w:style>
  <w:style w:type="paragraph" w:customStyle="1" w:styleId="TitelStufe1nachTitel">
    <w:name w:val="Titel Stufe 1 nach Titel"/>
    <w:basedOn w:val="TitelStufe1"/>
    <w:next w:val="Artikel"/>
  </w:style>
  <w:style w:type="paragraph" w:customStyle="1" w:styleId="TitelStufe2nachTitel">
    <w:name w:val="Titel Stufe 2 nach Titel"/>
    <w:basedOn w:val="TitelStufe2"/>
    <w:next w:val="Artikel"/>
  </w:style>
  <w:style w:type="paragraph" w:customStyle="1" w:styleId="TitelStufe3nachTitel">
    <w:name w:val="Titel Stufe 3 nach Titel"/>
    <w:basedOn w:val="TitelStufe3"/>
    <w:next w:val="Artikel"/>
  </w:style>
  <w:style w:type="paragraph" w:customStyle="1" w:styleId="TitelStufe4nachTitel">
    <w:name w:val="Titel Stufe 4 nach Titel"/>
    <w:basedOn w:val="TitelStufe4"/>
    <w:next w:val="Artikel"/>
  </w:style>
  <w:style w:type="paragraph" w:customStyle="1" w:styleId="TitelStufe5nachTitel">
    <w:name w:val="Titel Stufe 5 nach Titel"/>
    <w:basedOn w:val="TitelStufe5"/>
    <w:next w:val="Artikel"/>
  </w:style>
  <w:style w:type="paragraph" w:styleId="Textkrper">
    <w:name w:val="Body Text"/>
    <w:basedOn w:val="Standard"/>
    <w:pPr>
      <w:spacing w:after="7pt" w:line="14.40pt" w:lineRule="auto"/>
    </w:pPr>
  </w:style>
  <w:style w:type="paragraph" w:styleId="Kommentartext">
    <w:name w:val="annotation text"/>
    <w:basedOn w:val="Standard"/>
    <w:pPr>
      <w:keepNext/>
      <w:spacing w:line="7.20pt" w:lineRule="exact"/>
    </w:pPr>
    <w:rPr>
      <w:sz w:val="14"/>
    </w:rPr>
  </w:style>
  <w:style w:type="paragraph" w:customStyle="1" w:styleId="Artikel">
    <w:name w:val="Artikel"/>
    <w:basedOn w:val="Standard"/>
    <w:next w:val="Standard"/>
    <w:pPr>
      <w:keepNext/>
      <w:tabs>
        <w:tab w:val="clear" w:pos="742.70pt"/>
        <w:tab w:val="start" w:pos="68pt"/>
      </w:tabs>
      <w:spacing w:before="12pt" w:after="3pt"/>
      <w:ind w:start="34pt" w:hanging="34pt"/>
    </w:pPr>
  </w:style>
  <w:style w:type="paragraph" w:customStyle="1" w:styleId="Artikelaufgehoben">
    <w:name w:val="Artikel (aufgehoben)"/>
    <w:basedOn w:val="Artikel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e1">
    <w:name w:val="Liste 1"/>
    <w:basedOn w:val="Standard"/>
    <w:pPr>
      <w:ind w:start="17pt" w:hanging="17pt"/>
    </w:pPr>
  </w:style>
  <w:style w:type="paragraph" w:customStyle="1" w:styleId="Liste1mitaufeinanderfolgendenAufhebungen">
    <w:name w:val="Liste 1 mit aufeinanderfolgenden Aufhebungen"/>
    <w:basedOn w:val="Liste1"/>
  </w:style>
  <w:style w:type="paragraph" w:customStyle="1" w:styleId="Liste1mitUnterelementen">
    <w:name w:val="Liste 1 mit Unterelementen"/>
    <w:basedOn w:val="Liste1"/>
  </w:style>
  <w:style w:type="paragraph" w:customStyle="1" w:styleId="Liste21">
    <w:name w:val="Liste 21"/>
    <w:basedOn w:val="Liste1"/>
    <w:pPr>
      <w:ind w:start="34pt"/>
    </w:pPr>
  </w:style>
  <w:style w:type="paragraph" w:customStyle="1" w:styleId="Liste2mitaufeinanderfolgendenAufhebungen">
    <w:name w:val="Liste 2 mit aufeinanderfolgenden Aufhebungen"/>
    <w:basedOn w:val="Liste21"/>
  </w:style>
  <w:style w:type="paragraph" w:customStyle="1" w:styleId="Liste31">
    <w:name w:val="Liste 31"/>
    <w:basedOn w:val="Liste21"/>
    <w:pPr>
      <w:ind w:start="51.05pt"/>
    </w:pPr>
  </w:style>
  <w:style w:type="paragraph" w:styleId="Funotentext">
    <w:name w:val="footnote text"/>
    <w:basedOn w:val="Standard"/>
    <w:pPr>
      <w:spacing w:line="9.40pt" w:lineRule="exact"/>
      <w:ind w:start="10.50pt" w:hanging="10.50pt"/>
    </w:pPr>
    <w:rPr>
      <w:sz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13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12" Type="http://purl.oclc.org/ooxml/officeDocument/relationships/footer" Target="footer3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yperlink" Target="http://gdb.ow.ch/data/210.1/de" TargetMode="External"/><Relationship Id="rId11" Type="http://purl.oclc.org/ooxml/officeDocument/relationships/header" Target="header3.xml"/><Relationship Id="rId5" Type="http://purl.oclc.org/ooxml/officeDocument/relationships/endnotes" Target="endnotes.xml"/><Relationship Id="rId10" Type="http://purl.oclc.org/ooxml/officeDocument/relationships/footer" Target="footer2.xml"/><Relationship Id="rId4" Type="http://purl.oclc.org/ooxml/officeDocument/relationships/footnotes" Target="footnote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purl.oclc.org/ooxml/officeDocument/relationships/hyperlink" Target="http://gdb.ow.ch/data/130.3/de" TargetMode="External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5</Pages>
  <Words>813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Bienz-Ottiger Cornelia</dc:creator>
  <cp:lastModifiedBy>Bienz-Ottiger Cornelia</cp:lastModifiedBy>
  <cp:revision>2</cp:revision>
  <dcterms:created xsi:type="dcterms:W3CDTF">2021-02-02T10:06:00Z</dcterms:created>
  <dcterms:modified xsi:type="dcterms:W3CDTF">2021-02-02T10:06:00Z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DocumentType">
    <vt:lpwstr>Synopse</vt:lpwstr>
  </property>
</Properties>
</file>