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28" w:rsidRDefault="003D3B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Arial"/>
          <w:b/>
          <w:bCs/>
          <w:sz w:val="24"/>
          <w:lang w:val="de-CH"/>
        </w:rPr>
      </w:pPr>
    </w:p>
    <w:p w:rsidR="003D3B28" w:rsidRDefault="002B7B7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Arial"/>
          <w:b/>
          <w:bCs/>
          <w:sz w:val="26"/>
          <w:lang w:val="de-CH"/>
        </w:rPr>
      </w:pPr>
      <w:r>
        <w:rPr>
          <w:rFonts w:cs="Arial"/>
          <w:b/>
          <w:bCs/>
          <w:sz w:val="26"/>
          <w:lang w:val="de-CH"/>
        </w:rPr>
        <w:t>Fragebogen</w:t>
      </w:r>
    </w:p>
    <w:p w:rsidR="003D3B28" w:rsidRDefault="0088026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Arial"/>
          <w:b/>
          <w:bCs/>
          <w:sz w:val="26"/>
          <w:lang w:val="de-CH"/>
        </w:rPr>
      </w:pPr>
      <w:r>
        <w:rPr>
          <w:rFonts w:cs="Arial"/>
          <w:b/>
          <w:bCs/>
          <w:sz w:val="26"/>
          <w:lang w:val="de-CH"/>
        </w:rPr>
        <w:t xml:space="preserve">zum </w:t>
      </w:r>
      <w:r w:rsidR="00310D37">
        <w:rPr>
          <w:rFonts w:cs="Arial"/>
          <w:b/>
          <w:bCs/>
          <w:sz w:val="26"/>
          <w:lang w:val="de-CH"/>
        </w:rPr>
        <w:t>Finanzierung</w:t>
      </w:r>
      <w:r>
        <w:rPr>
          <w:rFonts w:cs="Arial"/>
          <w:b/>
          <w:bCs/>
          <w:sz w:val="26"/>
          <w:lang w:val="de-CH"/>
        </w:rPr>
        <w:t>svorschlag „</w:t>
      </w:r>
      <w:r w:rsidR="00310D37">
        <w:rPr>
          <w:rFonts w:cs="Arial"/>
          <w:b/>
          <w:bCs/>
          <w:sz w:val="26"/>
          <w:lang w:val="de-CH"/>
        </w:rPr>
        <w:t>Hochwassers</w:t>
      </w:r>
      <w:r>
        <w:rPr>
          <w:rFonts w:cs="Arial"/>
          <w:b/>
          <w:bCs/>
          <w:sz w:val="26"/>
          <w:lang w:val="de-CH"/>
        </w:rPr>
        <w:t xml:space="preserve">icherheit </w:t>
      </w:r>
      <w:proofErr w:type="spellStart"/>
      <w:r>
        <w:rPr>
          <w:rFonts w:cs="Arial"/>
          <w:b/>
          <w:bCs/>
          <w:sz w:val="26"/>
          <w:lang w:val="de-CH"/>
        </w:rPr>
        <w:t>Sarneraatal</w:t>
      </w:r>
      <w:proofErr w:type="spellEnd"/>
      <w:r>
        <w:rPr>
          <w:rFonts w:cs="Arial"/>
          <w:b/>
          <w:bCs/>
          <w:sz w:val="26"/>
          <w:lang w:val="de-CH"/>
        </w:rPr>
        <w:t>“</w:t>
      </w:r>
    </w:p>
    <w:p w:rsidR="003D3B28" w:rsidRDefault="003D3B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cs="Arial"/>
          <w:b/>
          <w:bCs/>
          <w:sz w:val="24"/>
          <w:lang w:val="de-CH"/>
        </w:rPr>
      </w:pPr>
    </w:p>
    <w:p w:rsidR="00681291" w:rsidRDefault="00681291">
      <w:pPr>
        <w:rPr>
          <w:rFonts w:cs="Arial"/>
          <w:sz w:val="22"/>
          <w:lang w:val="de-CH"/>
        </w:rPr>
      </w:pPr>
    </w:p>
    <w:p w:rsidR="0068561E" w:rsidRDefault="0068561E">
      <w:pPr>
        <w:rPr>
          <w:rFonts w:cs="Arial"/>
          <w:sz w:val="22"/>
          <w:lang w:val="de-CH"/>
        </w:rPr>
      </w:pPr>
    </w:p>
    <w:p w:rsidR="00297077" w:rsidRDefault="002B4DD7" w:rsidP="002B4DD7">
      <w:pPr>
        <w:pStyle w:val="Listenabsatz"/>
        <w:numPr>
          <w:ilvl w:val="0"/>
          <w:numId w:val="8"/>
        </w:numPr>
        <w:rPr>
          <w:b/>
          <w:sz w:val="24"/>
          <w:szCs w:val="24"/>
        </w:rPr>
      </w:pPr>
      <w:r w:rsidRPr="002B4DD7">
        <w:rPr>
          <w:b/>
          <w:sz w:val="24"/>
          <w:szCs w:val="24"/>
        </w:rPr>
        <w:t>Allgemein</w:t>
      </w:r>
    </w:p>
    <w:p w:rsidR="00435DDB" w:rsidRPr="002B4DD7" w:rsidRDefault="00435DDB" w:rsidP="001A2E20">
      <w:pPr>
        <w:pStyle w:val="Listenabsatz"/>
        <w:ind w:left="1080"/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2B4DD7" w:rsidTr="00656A5B">
        <w:trPr>
          <w:trHeight w:val="904"/>
        </w:trPr>
        <w:tc>
          <w:tcPr>
            <w:tcW w:w="1510" w:type="dxa"/>
          </w:tcPr>
          <w:p w:rsidR="002B4DD7" w:rsidRPr="00B71341" w:rsidRDefault="002B4DD7" w:rsidP="00FC73A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1</w:t>
            </w:r>
          </w:p>
        </w:tc>
        <w:tc>
          <w:tcPr>
            <w:tcW w:w="5931" w:type="dxa"/>
          </w:tcPr>
          <w:p w:rsidR="002B4DD7" w:rsidRDefault="002B4DD7" w:rsidP="00F363EF">
            <w:pPr>
              <w:spacing w:before="40" w:after="40"/>
              <w:rPr>
                <w:rFonts w:eastAsia="SimSun" w:cs="Arial"/>
              </w:rPr>
            </w:pPr>
            <w:r>
              <w:rPr>
                <w:rFonts w:cs="Arial"/>
                <w:lang w:val="de-CH"/>
              </w:rPr>
              <w:t>Teilen Sie die Ansicht des Regierungsrats, dass eine zeitlich befristete Zwecksteuer erhoben werden soll?</w:t>
            </w:r>
          </w:p>
        </w:tc>
        <w:tc>
          <w:tcPr>
            <w:tcW w:w="1835" w:type="dxa"/>
          </w:tcPr>
          <w:p w:rsidR="002B4DD7" w:rsidRDefault="002B4DD7" w:rsidP="002B4DD7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F504A9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F504A9">
              <w:rPr>
                <w:rFonts w:cs="Arial"/>
                <w:sz w:val="26"/>
                <w:lang w:val="de-CH"/>
              </w:rPr>
            </w:r>
            <w:r w:rsidR="00F504A9">
              <w:rPr>
                <w:rFonts w:cs="Arial"/>
                <w:sz w:val="26"/>
                <w:lang w:val="de-CH"/>
              </w:rPr>
              <w:fldChar w:fldCharType="separate"/>
            </w:r>
            <w:r w:rsidR="00F504A9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2B4DD7" w:rsidRDefault="002B4DD7" w:rsidP="00656A5B">
            <w:pPr>
              <w:tabs>
                <w:tab w:val="left" w:pos="355"/>
                <w:tab w:val="left" w:pos="923"/>
                <w:tab w:val="left" w:pos="1028"/>
              </w:tabs>
              <w:spacing w:before="40" w:after="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F504A9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F504A9">
              <w:rPr>
                <w:rFonts w:cs="Arial"/>
                <w:sz w:val="26"/>
                <w:lang w:val="de-CH"/>
              </w:rPr>
            </w:r>
            <w:r w:rsidR="00F504A9">
              <w:rPr>
                <w:rFonts w:cs="Arial"/>
                <w:sz w:val="26"/>
                <w:lang w:val="de-CH"/>
              </w:rPr>
              <w:fldChar w:fldCharType="separate"/>
            </w:r>
            <w:r w:rsidR="00F504A9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2B4DD7" w:rsidTr="009946E7">
        <w:tc>
          <w:tcPr>
            <w:tcW w:w="1510" w:type="dxa"/>
          </w:tcPr>
          <w:p w:rsidR="002B4DD7" w:rsidRPr="00B71341" w:rsidRDefault="002B4DD7" w:rsidP="00FC73A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:rsidR="002B4DD7" w:rsidRDefault="002B4DD7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50202F" w:rsidRDefault="0050202F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50202F" w:rsidRPr="00930460" w:rsidRDefault="0050202F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0F494B" w:rsidRPr="000F494B" w:rsidRDefault="000F494B">
      <w:pPr>
        <w:rPr>
          <w:sz w:val="22"/>
          <w:szCs w:val="22"/>
        </w:rPr>
      </w:pPr>
    </w:p>
    <w:p w:rsidR="000F494B" w:rsidRPr="000F494B" w:rsidRDefault="000F494B">
      <w:pPr>
        <w:rPr>
          <w:sz w:val="22"/>
          <w:szCs w:val="22"/>
        </w:rPr>
      </w:pPr>
    </w:p>
    <w:p w:rsidR="000F494B" w:rsidRDefault="00EA2169" w:rsidP="002B4DD7">
      <w:pPr>
        <w:pStyle w:val="Listenabsatz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Finanzierungs</w:t>
      </w:r>
      <w:r w:rsidR="002A4B8B">
        <w:rPr>
          <w:b/>
          <w:sz w:val="24"/>
          <w:szCs w:val="24"/>
        </w:rPr>
        <w:t>modelle</w:t>
      </w:r>
    </w:p>
    <w:p w:rsidR="00435DDB" w:rsidRPr="000F494B" w:rsidRDefault="00435DDB" w:rsidP="001A2E20">
      <w:pPr>
        <w:pStyle w:val="Listenabsatz"/>
        <w:ind w:left="1080"/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06"/>
        <w:gridCol w:w="5808"/>
        <w:gridCol w:w="1962"/>
      </w:tblGrid>
      <w:tr w:rsidR="00FC73AF" w:rsidTr="00EA2169">
        <w:tc>
          <w:tcPr>
            <w:tcW w:w="1506" w:type="dxa"/>
          </w:tcPr>
          <w:p w:rsidR="00FC73AF" w:rsidRPr="00B71341" w:rsidRDefault="000F494B" w:rsidP="00FC73A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2.1</w:t>
            </w:r>
          </w:p>
        </w:tc>
        <w:tc>
          <w:tcPr>
            <w:tcW w:w="5808" w:type="dxa"/>
          </w:tcPr>
          <w:p w:rsidR="003C12F4" w:rsidRPr="003C12F4" w:rsidRDefault="00F007E3" w:rsidP="003C12F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Befürworten Sie das</w:t>
            </w:r>
            <w:r w:rsidR="0050202F" w:rsidRPr="003C12F4">
              <w:rPr>
                <w:rFonts w:cs="Arial"/>
                <w:b/>
              </w:rPr>
              <w:t xml:space="preserve"> </w:t>
            </w:r>
            <w:r w:rsidR="003C12F4">
              <w:rPr>
                <w:rFonts w:cs="Arial"/>
                <w:b/>
              </w:rPr>
              <w:t xml:space="preserve">Finanzierungsmodell </w:t>
            </w:r>
            <w:r w:rsidR="003C12F4" w:rsidRPr="003C12F4">
              <w:rPr>
                <w:rFonts w:cs="Arial"/>
                <w:b/>
              </w:rPr>
              <w:t>I</w:t>
            </w:r>
            <w:r w:rsidR="003C12F4">
              <w:rPr>
                <w:rFonts w:cs="Arial"/>
                <w:b/>
              </w:rPr>
              <w:t>?</w:t>
            </w:r>
          </w:p>
          <w:p w:rsidR="001D3D04" w:rsidRPr="00321E61" w:rsidRDefault="003C12F4" w:rsidP="001A4B7A">
            <w:pPr>
              <w:rPr>
                <w:rFonts w:cs="Arial"/>
                <w:lang w:val="de-CH"/>
              </w:rPr>
            </w:pPr>
            <w:r>
              <w:rPr>
                <w:rFonts w:cs="Arial"/>
              </w:rPr>
              <w:t>K</w:t>
            </w:r>
            <w:r w:rsidRPr="00606EE0">
              <w:rPr>
                <w:rFonts w:cs="Arial"/>
              </w:rPr>
              <w:t xml:space="preserve">antonale, zweckgebundene Staatssteuer für den </w:t>
            </w:r>
            <w:r w:rsidRPr="001A4B7A">
              <w:rPr>
                <w:rFonts w:cs="Arial"/>
                <w:i/>
              </w:rPr>
              <w:t>Kanto</w:t>
            </w:r>
            <w:r w:rsidR="00B3395E" w:rsidRPr="001A4B7A">
              <w:rPr>
                <w:rFonts w:cs="Arial"/>
                <w:i/>
              </w:rPr>
              <w:t>nsanteil</w:t>
            </w:r>
            <w:r w:rsidR="00B3395E">
              <w:rPr>
                <w:rFonts w:cs="Arial"/>
              </w:rPr>
              <w:t xml:space="preserve"> der Kosten des Projekt</w:t>
            </w:r>
            <w:r w:rsidRPr="00606EE0">
              <w:rPr>
                <w:rFonts w:cs="Arial"/>
              </w:rPr>
              <w:t>s "Hochwassersicherheit Sarneraatal</w:t>
            </w:r>
            <w:r>
              <w:rPr>
                <w:rFonts w:cs="Arial"/>
              </w:rPr>
              <w:t xml:space="preserve">”. </w:t>
            </w:r>
            <w:r w:rsidR="00F363EF">
              <w:rPr>
                <w:rFonts w:cs="Arial"/>
              </w:rPr>
              <w:t xml:space="preserve">- </w:t>
            </w:r>
            <w:r>
              <w:rPr>
                <w:rFonts w:cs="Arial"/>
              </w:rPr>
              <w:t>Die Gemeinden Sarnen, Sachseln und Giswil müssen die Finanzierung de</w:t>
            </w:r>
            <w:r w:rsidR="001A4B7A">
              <w:rPr>
                <w:rFonts w:cs="Arial"/>
              </w:rPr>
              <w:t>r</w:t>
            </w:r>
            <w:r>
              <w:rPr>
                <w:rFonts w:cs="Arial"/>
              </w:rPr>
              <w:t xml:space="preserve"> Gemeindeanteil</w:t>
            </w:r>
            <w:r w:rsidR="001A4B7A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gemäss Gesetz über die Regelung der Abflussverhältnisse des Sarnersees zur Hochwassersicherheit</w:t>
            </w:r>
            <w:r w:rsidR="00F007E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des Sarneraatals</w:t>
            </w:r>
            <w:r w:rsidR="00F007E3">
              <w:rPr>
                <w:rFonts w:cs="Arial"/>
              </w:rPr>
              <w:t xml:space="preserve"> vom 31.</w:t>
            </w:r>
            <w:r w:rsidR="00F363EF">
              <w:rPr>
                <w:rFonts w:cs="Arial"/>
              </w:rPr>
              <w:t> </w:t>
            </w:r>
            <w:r w:rsidR="00F007E3">
              <w:rPr>
                <w:rFonts w:cs="Arial"/>
              </w:rPr>
              <w:t>Mai 2007(GD</w:t>
            </w:r>
            <w:r w:rsidR="00B3395E">
              <w:rPr>
                <w:rFonts w:cs="Arial"/>
              </w:rPr>
              <w:t>B </w:t>
            </w:r>
            <w:r w:rsidR="00F007E3">
              <w:rPr>
                <w:rFonts w:cs="Arial"/>
              </w:rPr>
              <w:t xml:space="preserve">740.2) </w:t>
            </w:r>
            <w:r>
              <w:rPr>
                <w:rFonts w:cs="Arial"/>
              </w:rPr>
              <w:t>gemeindeintern regeln.</w:t>
            </w:r>
          </w:p>
        </w:tc>
        <w:tc>
          <w:tcPr>
            <w:tcW w:w="1962" w:type="dxa"/>
          </w:tcPr>
          <w:p w:rsidR="0050202F" w:rsidRDefault="0050202F" w:rsidP="0050202F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F504A9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F504A9">
              <w:rPr>
                <w:rFonts w:cs="Arial"/>
                <w:sz w:val="26"/>
                <w:lang w:val="de-CH"/>
              </w:rPr>
            </w:r>
            <w:r w:rsidR="00F504A9">
              <w:rPr>
                <w:rFonts w:cs="Arial"/>
                <w:sz w:val="26"/>
                <w:lang w:val="de-CH"/>
              </w:rPr>
              <w:fldChar w:fldCharType="separate"/>
            </w:r>
            <w:r w:rsidR="00F504A9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7C44CB" w:rsidRPr="00C30B8F" w:rsidRDefault="0050202F" w:rsidP="0050202F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F504A9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F504A9">
              <w:rPr>
                <w:rFonts w:cs="Arial"/>
                <w:sz w:val="26"/>
                <w:lang w:val="de-CH"/>
              </w:rPr>
            </w:r>
            <w:r w:rsidR="00F504A9">
              <w:rPr>
                <w:rFonts w:cs="Arial"/>
                <w:sz w:val="26"/>
                <w:lang w:val="de-CH"/>
              </w:rPr>
              <w:fldChar w:fldCharType="separate"/>
            </w:r>
            <w:r w:rsidR="00F504A9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F75A42" w:rsidTr="00EA2169">
        <w:trPr>
          <w:cantSplit/>
        </w:trPr>
        <w:tc>
          <w:tcPr>
            <w:tcW w:w="1506" w:type="dxa"/>
          </w:tcPr>
          <w:p w:rsidR="00F75A42" w:rsidRPr="00B71341" w:rsidRDefault="00F75A42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70" w:type="dxa"/>
            <w:gridSpan w:val="2"/>
          </w:tcPr>
          <w:p w:rsidR="00CB57CF" w:rsidRDefault="00CB57CF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30460" w:rsidRPr="00930460" w:rsidRDefault="00930460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B57CF" w:rsidRPr="00930460" w:rsidRDefault="00CB57CF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9E2C9F" w:rsidTr="002B4DD7">
        <w:tc>
          <w:tcPr>
            <w:tcW w:w="1506" w:type="dxa"/>
          </w:tcPr>
          <w:p w:rsidR="009E2C9F" w:rsidRPr="00B71341" w:rsidRDefault="009E2C9F" w:rsidP="002B4DD7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2.2</w:t>
            </w:r>
          </w:p>
        </w:tc>
        <w:tc>
          <w:tcPr>
            <w:tcW w:w="5808" w:type="dxa"/>
          </w:tcPr>
          <w:p w:rsidR="00F007E3" w:rsidRPr="00F007E3" w:rsidRDefault="009E2C9F" w:rsidP="002B4DD7">
            <w:pPr>
              <w:spacing w:before="40" w:after="40"/>
              <w:rPr>
                <w:rFonts w:cs="Arial"/>
                <w:b/>
                <w:lang w:val="de-CH"/>
              </w:rPr>
            </w:pPr>
            <w:r w:rsidRPr="00F007E3">
              <w:rPr>
                <w:rFonts w:cs="Arial"/>
                <w:b/>
                <w:lang w:val="de-CH"/>
              </w:rPr>
              <w:t xml:space="preserve">Befürworten Sie </w:t>
            </w:r>
            <w:r w:rsidR="00F007E3">
              <w:rPr>
                <w:rFonts w:cs="Arial"/>
                <w:b/>
              </w:rPr>
              <w:t>das</w:t>
            </w:r>
            <w:r w:rsidR="00F007E3" w:rsidRPr="003C12F4">
              <w:rPr>
                <w:rFonts w:cs="Arial"/>
                <w:b/>
              </w:rPr>
              <w:t xml:space="preserve"> </w:t>
            </w:r>
            <w:r w:rsidR="00F007E3">
              <w:rPr>
                <w:rFonts w:cs="Arial"/>
                <w:b/>
              </w:rPr>
              <w:t xml:space="preserve">Finanzierungsmodell </w:t>
            </w:r>
            <w:r w:rsidRPr="00F007E3">
              <w:rPr>
                <w:rFonts w:cs="Arial"/>
                <w:b/>
                <w:lang w:val="de-CH"/>
              </w:rPr>
              <w:t>I</w:t>
            </w:r>
            <w:r w:rsidR="00F007E3">
              <w:rPr>
                <w:rFonts w:cs="Arial"/>
                <w:b/>
                <w:lang w:val="de-CH"/>
              </w:rPr>
              <w:t>I</w:t>
            </w:r>
            <w:r w:rsidR="0050202F" w:rsidRPr="00F007E3">
              <w:rPr>
                <w:rFonts w:cs="Arial"/>
                <w:b/>
                <w:lang w:val="de-CH"/>
              </w:rPr>
              <w:t>a</w:t>
            </w:r>
            <w:r w:rsidR="00F007E3" w:rsidRPr="00F007E3">
              <w:rPr>
                <w:rFonts w:cs="Arial"/>
                <w:b/>
                <w:lang w:val="de-CH"/>
              </w:rPr>
              <w:t>?</w:t>
            </w:r>
          </w:p>
          <w:p w:rsidR="00F007E3" w:rsidRDefault="00F007E3" w:rsidP="00F007E3">
            <w:pPr>
              <w:rPr>
                <w:rFonts w:cs="Arial"/>
              </w:rPr>
            </w:pPr>
            <w:r>
              <w:rPr>
                <w:rFonts w:cs="Arial"/>
                <w:lang w:val="de-CH"/>
              </w:rPr>
              <w:t>K</w:t>
            </w:r>
            <w:r w:rsidR="0050202F" w:rsidRPr="00606EE0">
              <w:rPr>
                <w:rFonts w:cs="Arial"/>
              </w:rPr>
              <w:t xml:space="preserve">antonale, zweckgebundene Staatssteuer für den </w:t>
            </w:r>
            <w:r w:rsidR="0050202F" w:rsidRPr="00FC4E83">
              <w:rPr>
                <w:rFonts w:cs="Arial"/>
                <w:i/>
              </w:rPr>
              <w:t>Kantons-</w:t>
            </w:r>
            <w:r w:rsidR="00B3395E" w:rsidRPr="00FC4E83">
              <w:rPr>
                <w:rFonts w:cs="Arial"/>
                <w:i/>
              </w:rPr>
              <w:t xml:space="preserve"> und Gemeindeanteil</w:t>
            </w:r>
            <w:r w:rsidR="00B3395E">
              <w:rPr>
                <w:rFonts w:cs="Arial"/>
              </w:rPr>
              <w:t xml:space="preserve"> des Projekt</w:t>
            </w:r>
            <w:r w:rsidR="0050202F" w:rsidRPr="00606EE0">
              <w:rPr>
                <w:rFonts w:cs="Arial"/>
              </w:rPr>
              <w:t>s "Hochwassersicherheit Sarneraatal"</w:t>
            </w:r>
            <w:r w:rsidR="00F363EF">
              <w:rPr>
                <w:rFonts w:cs="Arial"/>
              </w:rPr>
              <w:t xml:space="preserve"> -</w:t>
            </w:r>
            <w:r w:rsidR="005020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Die Finanzierung der Gemeindeanteile erfolgt über unterschiedliche Steuersätze</w:t>
            </w:r>
            <w:r w:rsidR="00673B91">
              <w:rPr>
                <w:rFonts w:cs="Arial"/>
              </w:rPr>
              <w:t xml:space="preserve"> </w:t>
            </w:r>
            <w:r w:rsidR="00673B91">
              <w:rPr>
                <w:rFonts w:cs="Arial"/>
              </w:rPr>
              <w:t>aber in Anlehnung an die geltende Gesetzgebung bzw. Kostenteiler</w:t>
            </w:r>
            <w:r>
              <w:rPr>
                <w:rFonts w:cs="Arial"/>
              </w:rPr>
              <w:t>.</w:t>
            </w:r>
          </w:p>
          <w:p w:rsidR="007C601A" w:rsidRPr="00606EE0" w:rsidRDefault="007C601A" w:rsidP="00F007E3">
            <w:pPr>
              <w:rPr>
                <w:rFonts w:cs="Arial"/>
              </w:rPr>
            </w:pPr>
          </w:p>
          <w:p w:rsidR="009E2C9F" w:rsidRPr="00321E61" w:rsidRDefault="0050202F" w:rsidP="00FC4E8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</w:t>
            </w:r>
            <w:r w:rsidR="002A4B8B">
              <w:rPr>
                <w:rFonts w:cs="Arial"/>
                <w:lang w:val="de-CH"/>
              </w:rPr>
              <w:t>i diesem Modell</w:t>
            </w:r>
            <w:r>
              <w:rPr>
                <w:rFonts w:cs="Arial"/>
                <w:lang w:val="de-CH"/>
              </w:rPr>
              <w:t xml:space="preserve"> </w:t>
            </w:r>
            <w:r w:rsidR="009E2C9F">
              <w:rPr>
                <w:rFonts w:cs="Arial"/>
                <w:lang w:val="de-CH"/>
              </w:rPr>
              <w:t xml:space="preserve">wird das Gesetz über die Regelung der Abflussverhältnisse des </w:t>
            </w:r>
            <w:proofErr w:type="spellStart"/>
            <w:r w:rsidR="009E2C9F">
              <w:rPr>
                <w:rFonts w:cs="Arial"/>
                <w:lang w:val="de-CH"/>
              </w:rPr>
              <w:t>Sarnersees</w:t>
            </w:r>
            <w:proofErr w:type="spellEnd"/>
            <w:r w:rsidR="009E2C9F">
              <w:rPr>
                <w:rFonts w:cs="Arial"/>
                <w:lang w:val="de-CH"/>
              </w:rPr>
              <w:t xml:space="preserve"> zur Hochwassersicherheit des </w:t>
            </w:r>
            <w:proofErr w:type="spellStart"/>
            <w:r w:rsidR="009E2C9F">
              <w:rPr>
                <w:rFonts w:cs="Arial"/>
                <w:lang w:val="de-CH"/>
              </w:rPr>
              <w:t>Sarneraatals</w:t>
            </w:r>
            <w:proofErr w:type="spellEnd"/>
            <w:r w:rsidR="00F363EF">
              <w:rPr>
                <w:rFonts w:cs="Arial"/>
                <w:lang w:val="de-CH"/>
              </w:rPr>
              <w:t xml:space="preserve"> vom 31. Mai 2007 (GDB </w:t>
            </w:r>
            <w:r w:rsidR="009E2C9F">
              <w:rPr>
                <w:rFonts w:cs="Arial"/>
                <w:lang w:val="de-CH"/>
              </w:rPr>
              <w:t xml:space="preserve">740.2) </w:t>
            </w:r>
            <w:r w:rsidR="00FC4E83">
              <w:rPr>
                <w:rFonts w:cs="Arial"/>
                <w:lang w:val="de-CH"/>
              </w:rPr>
              <w:t>überprüft</w:t>
            </w:r>
            <w:r w:rsidR="00F363EF">
              <w:rPr>
                <w:rFonts w:cs="Arial"/>
                <w:lang w:val="de-CH"/>
              </w:rPr>
              <w:t>.</w:t>
            </w:r>
          </w:p>
        </w:tc>
        <w:tc>
          <w:tcPr>
            <w:tcW w:w="1962" w:type="dxa"/>
          </w:tcPr>
          <w:p w:rsidR="009E2C9F" w:rsidRDefault="009E2C9F" w:rsidP="002B4DD7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F504A9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F504A9">
              <w:rPr>
                <w:rFonts w:cs="Arial"/>
                <w:sz w:val="26"/>
                <w:lang w:val="de-CH"/>
              </w:rPr>
            </w:r>
            <w:r w:rsidR="00F504A9">
              <w:rPr>
                <w:rFonts w:cs="Arial"/>
                <w:sz w:val="26"/>
                <w:lang w:val="de-CH"/>
              </w:rPr>
              <w:fldChar w:fldCharType="separate"/>
            </w:r>
            <w:r w:rsidR="00F504A9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9E2C9F" w:rsidRPr="00C30B8F" w:rsidRDefault="009E2C9F" w:rsidP="002B4DD7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F504A9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F504A9">
              <w:rPr>
                <w:rFonts w:cs="Arial"/>
                <w:sz w:val="26"/>
                <w:lang w:val="de-CH"/>
              </w:rPr>
            </w:r>
            <w:r w:rsidR="00F504A9">
              <w:rPr>
                <w:rFonts w:cs="Arial"/>
                <w:sz w:val="26"/>
                <w:lang w:val="de-CH"/>
              </w:rPr>
              <w:fldChar w:fldCharType="separate"/>
            </w:r>
            <w:r w:rsidR="00F504A9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9E2C9F" w:rsidTr="002B4DD7">
        <w:trPr>
          <w:cantSplit/>
        </w:trPr>
        <w:tc>
          <w:tcPr>
            <w:tcW w:w="1506" w:type="dxa"/>
          </w:tcPr>
          <w:p w:rsidR="009E2C9F" w:rsidRPr="00B71341" w:rsidRDefault="009E2C9F" w:rsidP="002B4DD7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70" w:type="dxa"/>
            <w:gridSpan w:val="2"/>
          </w:tcPr>
          <w:p w:rsidR="009E2C9F" w:rsidRDefault="009E2C9F" w:rsidP="002B4DD7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E2C9F" w:rsidRPr="00930460" w:rsidRDefault="009E2C9F" w:rsidP="002B4DD7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9E2C9F" w:rsidRPr="00930460" w:rsidRDefault="009E2C9F" w:rsidP="002B4DD7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EA2169" w:rsidTr="00EA2169">
        <w:trPr>
          <w:cantSplit/>
        </w:trPr>
        <w:tc>
          <w:tcPr>
            <w:tcW w:w="1506" w:type="dxa"/>
          </w:tcPr>
          <w:p w:rsidR="00EA2169" w:rsidRDefault="00EA2169" w:rsidP="00EA2169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2.</w:t>
            </w:r>
            <w:r w:rsidR="009E2C9F">
              <w:rPr>
                <w:rFonts w:cs="Arial"/>
                <w:lang w:val="de-CH"/>
              </w:rPr>
              <w:t>3</w:t>
            </w:r>
          </w:p>
        </w:tc>
        <w:tc>
          <w:tcPr>
            <w:tcW w:w="5808" w:type="dxa"/>
          </w:tcPr>
          <w:p w:rsidR="00F007E3" w:rsidRDefault="0050202F" w:rsidP="00F007E3">
            <w:pPr>
              <w:rPr>
                <w:rFonts w:cs="Arial"/>
              </w:rPr>
            </w:pPr>
            <w:r w:rsidRPr="00F007E3">
              <w:rPr>
                <w:rFonts w:cs="Arial"/>
                <w:b/>
                <w:lang w:val="de-CH"/>
              </w:rPr>
              <w:t xml:space="preserve">Befürworten Sie </w:t>
            </w:r>
            <w:r w:rsidR="00F007E3">
              <w:rPr>
                <w:rFonts w:cs="Arial"/>
                <w:b/>
              </w:rPr>
              <w:t>das</w:t>
            </w:r>
            <w:r w:rsidR="00F007E3" w:rsidRPr="003C12F4">
              <w:rPr>
                <w:rFonts w:cs="Arial"/>
                <w:b/>
              </w:rPr>
              <w:t xml:space="preserve"> </w:t>
            </w:r>
            <w:r w:rsidR="00F007E3">
              <w:rPr>
                <w:rFonts w:cs="Arial"/>
                <w:b/>
              </w:rPr>
              <w:t xml:space="preserve">Finanzierungsmodell </w:t>
            </w:r>
            <w:r w:rsidR="00F007E3" w:rsidRPr="00F007E3">
              <w:rPr>
                <w:rFonts w:cs="Arial"/>
                <w:b/>
                <w:lang w:val="de-CH"/>
              </w:rPr>
              <w:t>II</w:t>
            </w:r>
            <w:r w:rsidRPr="00F007E3">
              <w:rPr>
                <w:rFonts w:cs="Arial"/>
                <w:b/>
                <w:lang w:val="de-CH"/>
              </w:rPr>
              <w:t>b</w:t>
            </w:r>
            <w:r w:rsidR="00F007E3" w:rsidRPr="00F007E3">
              <w:rPr>
                <w:rFonts w:cs="Arial"/>
                <w:b/>
                <w:lang w:val="de-CH"/>
              </w:rPr>
              <w:t>?</w:t>
            </w:r>
            <w:r>
              <w:rPr>
                <w:rFonts w:cs="Arial"/>
                <w:lang w:val="de-CH"/>
              </w:rPr>
              <w:t xml:space="preserve"> </w:t>
            </w:r>
          </w:p>
          <w:p w:rsidR="00EA2169" w:rsidRPr="00673B91" w:rsidRDefault="00F007E3" w:rsidP="00F007E3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50202F" w:rsidRPr="00606EE0">
              <w:rPr>
                <w:rFonts w:cs="Arial"/>
              </w:rPr>
              <w:t xml:space="preserve">antonale, zweckgebundene Staatssteuer für den </w:t>
            </w:r>
            <w:r w:rsidR="0050202F" w:rsidRPr="007C601A">
              <w:rPr>
                <w:rFonts w:cs="Arial"/>
                <w:i/>
              </w:rPr>
              <w:t>Kantons-</w:t>
            </w:r>
            <w:r w:rsidR="00B3395E" w:rsidRPr="007C601A">
              <w:rPr>
                <w:rFonts w:cs="Arial"/>
                <w:i/>
              </w:rPr>
              <w:t xml:space="preserve"> und Gemeindeanteil</w:t>
            </w:r>
            <w:r w:rsidR="00B3395E">
              <w:rPr>
                <w:rFonts w:cs="Arial"/>
              </w:rPr>
              <w:t xml:space="preserve"> des Projekt</w:t>
            </w:r>
            <w:r w:rsidR="0050202F" w:rsidRPr="00606EE0">
              <w:rPr>
                <w:rFonts w:cs="Arial"/>
              </w:rPr>
              <w:t>s "Hochwassersicherheit Sarneraatal"</w:t>
            </w:r>
            <w:r>
              <w:rPr>
                <w:rFonts w:cs="Arial"/>
              </w:rPr>
              <w:t>.</w:t>
            </w:r>
            <w:r w:rsidR="00F363EF">
              <w:rPr>
                <w:rFonts w:cs="Arial"/>
              </w:rPr>
              <w:t xml:space="preserve"> -</w:t>
            </w:r>
            <w:r>
              <w:rPr>
                <w:rFonts w:cs="Arial"/>
              </w:rPr>
              <w:t xml:space="preserve"> Die </w:t>
            </w:r>
            <w:r>
              <w:rPr>
                <w:rFonts w:cs="Arial"/>
              </w:rPr>
              <w:t xml:space="preserve">Finanzierung </w:t>
            </w:r>
            <w:r w:rsidR="00673B91">
              <w:rPr>
                <w:rFonts w:cs="Arial"/>
              </w:rPr>
              <w:t xml:space="preserve">auch </w:t>
            </w:r>
            <w:r>
              <w:rPr>
                <w:rFonts w:cs="Arial"/>
              </w:rPr>
              <w:t>der Gemeindeanteile erfolgt über einen Einheitssatz</w:t>
            </w:r>
            <w:r w:rsidR="00673B91">
              <w:rPr>
                <w:rFonts w:cs="Arial"/>
              </w:rPr>
              <w:t xml:space="preserve"> </w:t>
            </w:r>
            <w:r w:rsidR="00673B91" w:rsidRPr="00673B91">
              <w:rPr>
                <w:rFonts w:cs="Arial"/>
              </w:rPr>
              <w:t>über den ganzen Kanton</w:t>
            </w:r>
            <w:r w:rsidRPr="00673B91">
              <w:rPr>
                <w:rFonts w:cs="Arial"/>
              </w:rPr>
              <w:t>.</w:t>
            </w:r>
          </w:p>
          <w:p w:rsidR="002A4B8B" w:rsidRDefault="002A4B8B" w:rsidP="00F007E3">
            <w:pPr>
              <w:rPr>
                <w:rFonts w:cs="Arial"/>
              </w:rPr>
            </w:pPr>
          </w:p>
          <w:p w:rsidR="002A4B8B" w:rsidRPr="00F007E3" w:rsidRDefault="002A4B8B" w:rsidP="007C601A">
            <w:pPr>
              <w:rPr>
                <w:rFonts w:cs="Arial"/>
              </w:rPr>
            </w:pPr>
            <w:r>
              <w:rPr>
                <w:rFonts w:cs="Arial"/>
                <w:lang w:val="de-CH"/>
              </w:rPr>
              <w:t xml:space="preserve">Bei diesem Modell wird das Gesetz über die Regelung der Abflussverhältnisse des </w:t>
            </w:r>
            <w:proofErr w:type="spellStart"/>
            <w:r>
              <w:rPr>
                <w:rFonts w:cs="Arial"/>
                <w:lang w:val="de-CH"/>
              </w:rPr>
              <w:t>Sarnersees</w:t>
            </w:r>
            <w:proofErr w:type="spellEnd"/>
            <w:r>
              <w:rPr>
                <w:rFonts w:cs="Arial"/>
                <w:lang w:val="de-CH"/>
              </w:rPr>
              <w:t xml:space="preserve"> zur Hochwassersicherheit des </w:t>
            </w:r>
            <w:proofErr w:type="spellStart"/>
            <w:r>
              <w:rPr>
                <w:rFonts w:cs="Arial"/>
                <w:lang w:val="de-CH"/>
              </w:rPr>
              <w:t>Sar</w:t>
            </w:r>
            <w:r w:rsidR="00F363EF">
              <w:rPr>
                <w:rFonts w:cs="Arial"/>
                <w:lang w:val="de-CH"/>
              </w:rPr>
              <w:t>neraatals</w:t>
            </w:r>
            <w:proofErr w:type="spellEnd"/>
            <w:r w:rsidR="00F363EF">
              <w:rPr>
                <w:rFonts w:cs="Arial"/>
                <w:lang w:val="de-CH"/>
              </w:rPr>
              <w:t xml:space="preserve"> vom 31. Mai 2007 (GDB </w:t>
            </w:r>
            <w:r>
              <w:rPr>
                <w:rFonts w:cs="Arial"/>
                <w:lang w:val="de-CH"/>
              </w:rPr>
              <w:t xml:space="preserve">740.2) </w:t>
            </w:r>
            <w:r w:rsidR="007C601A">
              <w:rPr>
                <w:rFonts w:cs="Arial"/>
                <w:lang w:val="de-CH"/>
              </w:rPr>
              <w:t>überprüft</w:t>
            </w:r>
            <w:r w:rsidR="00F363EF">
              <w:rPr>
                <w:rFonts w:cs="Arial"/>
                <w:lang w:val="de-CH"/>
              </w:rPr>
              <w:t>.</w:t>
            </w:r>
          </w:p>
        </w:tc>
        <w:tc>
          <w:tcPr>
            <w:tcW w:w="1962" w:type="dxa"/>
          </w:tcPr>
          <w:p w:rsidR="00EA2169" w:rsidRDefault="00EA2169" w:rsidP="00EA2169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F504A9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F504A9">
              <w:rPr>
                <w:rFonts w:cs="Arial"/>
                <w:sz w:val="26"/>
                <w:lang w:val="de-CH"/>
              </w:rPr>
            </w:r>
            <w:r w:rsidR="00F504A9">
              <w:rPr>
                <w:rFonts w:cs="Arial"/>
                <w:sz w:val="26"/>
                <w:lang w:val="de-CH"/>
              </w:rPr>
              <w:fldChar w:fldCharType="separate"/>
            </w:r>
            <w:r w:rsidR="00F504A9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</w:r>
            <w:r w:rsidR="009E2C9F">
              <w:rPr>
                <w:rFonts w:cs="Arial"/>
                <w:sz w:val="26"/>
                <w:lang w:val="de-CH"/>
              </w:rPr>
              <w:t>JA</w:t>
            </w:r>
            <w:r>
              <w:rPr>
                <w:rFonts w:cs="Arial"/>
                <w:sz w:val="26"/>
                <w:lang w:val="de-CH"/>
              </w:rPr>
              <w:t xml:space="preserve"> </w:t>
            </w:r>
          </w:p>
          <w:p w:rsidR="00EA2169" w:rsidRDefault="00EA2169" w:rsidP="009E2C9F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F504A9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F504A9">
              <w:rPr>
                <w:rFonts w:cs="Arial"/>
                <w:sz w:val="26"/>
                <w:lang w:val="de-CH"/>
              </w:rPr>
            </w:r>
            <w:r w:rsidR="00F504A9">
              <w:rPr>
                <w:rFonts w:cs="Arial"/>
                <w:sz w:val="26"/>
                <w:lang w:val="de-CH"/>
              </w:rPr>
              <w:fldChar w:fldCharType="separate"/>
            </w:r>
            <w:r w:rsidR="00F504A9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</w:r>
            <w:r w:rsidR="009E2C9F">
              <w:rPr>
                <w:rFonts w:cs="Arial"/>
                <w:sz w:val="26"/>
                <w:lang w:val="de-CH"/>
              </w:rPr>
              <w:t>NEIN</w:t>
            </w:r>
          </w:p>
        </w:tc>
      </w:tr>
      <w:tr w:rsidR="00EA2169" w:rsidTr="00EA2169">
        <w:trPr>
          <w:cantSplit/>
        </w:trPr>
        <w:tc>
          <w:tcPr>
            <w:tcW w:w="1506" w:type="dxa"/>
          </w:tcPr>
          <w:p w:rsidR="00EA2169" w:rsidRDefault="00EA2169" w:rsidP="00EA2169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70" w:type="dxa"/>
            <w:gridSpan w:val="2"/>
          </w:tcPr>
          <w:p w:rsidR="00EA2169" w:rsidRDefault="00EA2169" w:rsidP="00EA2169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EA2169" w:rsidRPr="00930460" w:rsidRDefault="00EA2169" w:rsidP="00EA2169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EA2169" w:rsidRPr="00930460" w:rsidRDefault="00EA2169" w:rsidP="00EA2169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0B6358" w:rsidRDefault="000B6358">
      <w:pPr>
        <w:rPr>
          <w:sz w:val="22"/>
          <w:szCs w:val="22"/>
        </w:rPr>
      </w:pPr>
    </w:p>
    <w:p w:rsidR="001A2E20" w:rsidRDefault="001A2E20">
      <w:pPr>
        <w:rPr>
          <w:sz w:val="22"/>
          <w:szCs w:val="22"/>
        </w:rPr>
      </w:pPr>
    </w:p>
    <w:p w:rsidR="001A2E20" w:rsidRDefault="001A2E20" w:rsidP="001A2E20">
      <w:pPr>
        <w:pStyle w:val="Listenabsatz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Stichfragen</w:t>
      </w:r>
    </w:p>
    <w:p w:rsidR="001A2E20" w:rsidRPr="000B6358" w:rsidRDefault="001A2E20">
      <w:pPr>
        <w:rPr>
          <w:sz w:val="22"/>
          <w:szCs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06"/>
        <w:gridCol w:w="5808"/>
        <w:gridCol w:w="1962"/>
      </w:tblGrid>
      <w:tr w:rsidR="001A2E20" w:rsidTr="00F1525D">
        <w:trPr>
          <w:cantSplit/>
        </w:trPr>
        <w:tc>
          <w:tcPr>
            <w:tcW w:w="1506" w:type="dxa"/>
          </w:tcPr>
          <w:p w:rsidR="001A2E20" w:rsidRDefault="001A2E20" w:rsidP="00F1525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2.4</w:t>
            </w:r>
          </w:p>
        </w:tc>
        <w:tc>
          <w:tcPr>
            <w:tcW w:w="5808" w:type="dxa"/>
          </w:tcPr>
          <w:p w:rsidR="001A2E20" w:rsidRDefault="001A2E20" w:rsidP="00F1525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Wenn Sie sich zwei oder alle drei Finanzierungsmodelle vo</w:t>
            </w:r>
            <w:r>
              <w:rPr>
                <w:rFonts w:cs="Arial"/>
                <w:lang w:val="de-CH"/>
              </w:rPr>
              <w:t>r</w:t>
            </w:r>
            <w:r>
              <w:rPr>
                <w:rFonts w:cs="Arial"/>
                <w:lang w:val="de-CH"/>
              </w:rPr>
              <w:t>stellen könnten: Welches hätte für Sie erste Priorität?</w:t>
            </w:r>
          </w:p>
          <w:p w:rsidR="001A2E20" w:rsidRDefault="001A2E20" w:rsidP="00F1525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Bitte nur eines ankreuzen!</w:t>
            </w:r>
          </w:p>
        </w:tc>
        <w:tc>
          <w:tcPr>
            <w:tcW w:w="1962" w:type="dxa"/>
          </w:tcPr>
          <w:p w:rsidR="001A2E20" w:rsidRDefault="001A2E20" w:rsidP="00F1525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F504A9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F504A9">
              <w:rPr>
                <w:rFonts w:cs="Arial"/>
                <w:sz w:val="26"/>
                <w:lang w:val="de-CH"/>
              </w:rPr>
            </w:r>
            <w:r w:rsidR="00F504A9">
              <w:rPr>
                <w:rFonts w:cs="Arial"/>
                <w:sz w:val="26"/>
                <w:lang w:val="de-CH"/>
              </w:rPr>
              <w:fldChar w:fldCharType="separate"/>
            </w:r>
            <w:r w:rsidR="00F504A9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Mod I</w:t>
            </w:r>
          </w:p>
          <w:p w:rsidR="001A2E20" w:rsidRDefault="001A2E20" w:rsidP="00F1525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F504A9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F504A9">
              <w:rPr>
                <w:rFonts w:cs="Arial"/>
                <w:sz w:val="26"/>
                <w:lang w:val="de-CH"/>
              </w:rPr>
            </w:r>
            <w:r w:rsidR="00F504A9">
              <w:rPr>
                <w:rFonts w:cs="Arial"/>
                <w:sz w:val="26"/>
                <w:lang w:val="de-CH"/>
              </w:rPr>
              <w:fldChar w:fldCharType="separate"/>
            </w:r>
            <w:r w:rsidR="00F504A9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Mod IIa</w:t>
            </w:r>
          </w:p>
          <w:p w:rsidR="001A2E20" w:rsidRDefault="001A2E20" w:rsidP="00F1525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F504A9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F504A9">
              <w:rPr>
                <w:rFonts w:cs="Arial"/>
                <w:sz w:val="26"/>
                <w:lang w:val="de-CH"/>
              </w:rPr>
            </w:r>
            <w:r w:rsidR="00F504A9">
              <w:rPr>
                <w:rFonts w:cs="Arial"/>
                <w:sz w:val="26"/>
                <w:lang w:val="de-CH"/>
              </w:rPr>
              <w:fldChar w:fldCharType="separate"/>
            </w:r>
            <w:r w:rsidR="00F504A9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Mod IIb</w:t>
            </w:r>
          </w:p>
        </w:tc>
      </w:tr>
      <w:tr w:rsidR="001A2E20" w:rsidTr="00F1525D">
        <w:trPr>
          <w:cantSplit/>
        </w:trPr>
        <w:tc>
          <w:tcPr>
            <w:tcW w:w="1506" w:type="dxa"/>
          </w:tcPr>
          <w:p w:rsidR="001A2E20" w:rsidRDefault="001A2E20" w:rsidP="00F1525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5808" w:type="dxa"/>
          </w:tcPr>
          <w:p w:rsidR="001A2E20" w:rsidRDefault="001A2E20" w:rsidP="00F1525D">
            <w:pPr>
              <w:spacing w:before="40" w:after="40"/>
              <w:rPr>
                <w:rFonts w:cs="Arial"/>
                <w:lang w:val="de-CH"/>
              </w:rPr>
            </w:pPr>
          </w:p>
          <w:p w:rsidR="001A2E20" w:rsidRDefault="001A2E20" w:rsidP="00F1525D">
            <w:pPr>
              <w:spacing w:before="40" w:after="40"/>
              <w:rPr>
                <w:rFonts w:cs="Arial"/>
                <w:lang w:val="de-CH"/>
              </w:rPr>
            </w:pPr>
          </w:p>
          <w:p w:rsidR="001A2E20" w:rsidRDefault="001A2E20" w:rsidP="00F1525D">
            <w:pPr>
              <w:spacing w:before="40" w:after="40"/>
              <w:rPr>
                <w:rFonts w:cs="Arial"/>
                <w:lang w:val="de-CH"/>
              </w:rPr>
            </w:pPr>
          </w:p>
        </w:tc>
        <w:tc>
          <w:tcPr>
            <w:tcW w:w="1962" w:type="dxa"/>
          </w:tcPr>
          <w:p w:rsidR="001A2E20" w:rsidRDefault="001A2E20" w:rsidP="00F1525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</w:p>
        </w:tc>
      </w:tr>
      <w:tr w:rsidR="001A2E20" w:rsidTr="00F1525D">
        <w:trPr>
          <w:cantSplit/>
        </w:trPr>
        <w:tc>
          <w:tcPr>
            <w:tcW w:w="1506" w:type="dxa"/>
          </w:tcPr>
          <w:p w:rsidR="001A2E20" w:rsidRDefault="001A2E20" w:rsidP="00F1525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2.3</w:t>
            </w:r>
          </w:p>
        </w:tc>
        <w:tc>
          <w:tcPr>
            <w:tcW w:w="5808" w:type="dxa"/>
          </w:tcPr>
          <w:p w:rsidR="001A2E20" w:rsidRDefault="001A2E20" w:rsidP="00F1525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Falls das Finanzierungsmodell I zum Tragen kommen würde und sich die Gemeinden Sarnen, Sachseln und Giswil finanziell am Hochwasserschutzprojekt beteiligen müssen: Soll im Fina</w:t>
            </w:r>
            <w:r>
              <w:rPr>
                <w:rFonts w:cs="Arial"/>
                <w:lang w:val="de-CH"/>
              </w:rPr>
              <w:t>n</w:t>
            </w:r>
            <w:r>
              <w:rPr>
                <w:rFonts w:cs="Arial"/>
                <w:lang w:val="de-CH"/>
              </w:rPr>
              <w:t>zierungsvorschlag an den Kantonsrat die entsprechende g</w:t>
            </w:r>
            <w:r>
              <w:rPr>
                <w:rFonts w:cs="Arial"/>
                <w:lang w:val="de-CH"/>
              </w:rPr>
              <w:t>e</w:t>
            </w:r>
            <w:r>
              <w:rPr>
                <w:rFonts w:cs="Arial"/>
                <w:lang w:val="de-CH"/>
              </w:rPr>
              <w:t>setzliche Grundlage geschaffen werden, damit die betroffenen Gemeinden ebenfalls eine zweckgebundene Finanzierung schaffen können?</w:t>
            </w:r>
          </w:p>
        </w:tc>
        <w:tc>
          <w:tcPr>
            <w:tcW w:w="1962" w:type="dxa"/>
          </w:tcPr>
          <w:p w:rsidR="001A2E20" w:rsidRDefault="001A2E20" w:rsidP="00F1525D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F504A9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F504A9">
              <w:rPr>
                <w:rFonts w:cs="Arial"/>
                <w:sz w:val="26"/>
                <w:lang w:val="de-CH"/>
              </w:rPr>
            </w:r>
            <w:r w:rsidR="00F504A9">
              <w:rPr>
                <w:rFonts w:cs="Arial"/>
                <w:sz w:val="26"/>
                <w:lang w:val="de-CH"/>
              </w:rPr>
              <w:fldChar w:fldCharType="separate"/>
            </w:r>
            <w:r w:rsidR="00F504A9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1A2E20" w:rsidRDefault="001A2E20" w:rsidP="00F1525D">
            <w:pPr>
              <w:tabs>
                <w:tab w:val="left" w:pos="355"/>
                <w:tab w:val="left" w:pos="923"/>
              </w:tabs>
              <w:spacing w:before="40" w:after="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F504A9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F504A9">
              <w:rPr>
                <w:rFonts w:cs="Arial"/>
                <w:sz w:val="26"/>
                <w:lang w:val="de-CH"/>
              </w:rPr>
            </w:r>
            <w:r w:rsidR="00F504A9">
              <w:rPr>
                <w:rFonts w:cs="Arial"/>
                <w:sz w:val="26"/>
                <w:lang w:val="de-CH"/>
              </w:rPr>
              <w:fldChar w:fldCharType="separate"/>
            </w:r>
            <w:r w:rsidR="00F504A9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1A2E20" w:rsidTr="00F1525D">
        <w:trPr>
          <w:cantSplit/>
        </w:trPr>
        <w:tc>
          <w:tcPr>
            <w:tcW w:w="1506" w:type="dxa"/>
          </w:tcPr>
          <w:p w:rsidR="001A2E20" w:rsidRDefault="001A2E20" w:rsidP="00F1525D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70" w:type="dxa"/>
            <w:gridSpan w:val="2"/>
          </w:tcPr>
          <w:p w:rsidR="001A2E20" w:rsidRDefault="001A2E20" w:rsidP="00F1525D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1A2E20" w:rsidRPr="00930460" w:rsidRDefault="001A2E20" w:rsidP="00F1525D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1A2E20" w:rsidRDefault="001A2E20" w:rsidP="00F1525D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1A2E20" w:rsidRPr="00930460" w:rsidRDefault="001A2E20" w:rsidP="00F1525D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:rsidR="001A2E20" w:rsidRDefault="001A2E20">
      <w:pPr>
        <w:rPr>
          <w:b/>
          <w:sz w:val="24"/>
          <w:szCs w:val="24"/>
        </w:rPr>
      </w:pPr>
    </w:p>
    <w:p w:rsidR="000B6358" w:rsidRPr="000B6358" w:rsidRDefault="00EA2169" w:rsidP="00F30B76">
      <w:pPr>
        <w:pStyle w:val="Listenabsatz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Zukünftige Finanzierung der Naturgefahrenabwehrprojekte</w:t>
      </w:r>
    </w:p>
    <w:p w:rsidR="000B6358" w:rsidRPr="000B6358" w:rsidRDefault="000B6358">
      <w:pPr>
        <w:rPr>
          <w:sz w:val="22"/>
          <w:szCs w:val="22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5931"/>
        <w:gridCol w:w="1835"/>
      </w:tblGrid>
      <w:tr w:rsidR="00791D18" w:rsidTr="00791D18">
        <w:trPr>
          <w:cantSplit/>
        </w:trPr>
        <w:tc>
          <w:tcPr>
            <w:tcW w:w="1510" w:type="dxa"/>
          </w:tcPr>
          <w:p w:rsidR="00791D18" w:rsidRDefault="000B6358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3.1</w:t>
            </w:r>
          </w:p>
        </w:tc>
        <w:tc>
          <w:tcPr>
            <w:tcW w:w="5931" w:type="dxa"/>
          </w:tcPr>
          <w:p w:rsidR="00791D18" w:rsidRDefault="00EA2169" w:rsidP="00791D18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Könnten Sie sich eine generelle Zuständigkeit /Finanzierung des Kantons für die Naturgefahrenabwehrprojekte vorstellen?</w:t>
            </w:r>
          </w:p>
        </w:tc>
        <w:tc>
          <w:tcPr>
            <w:tcW w:w="1835" w:type="dxa"/>
          </w:tcPr>
          <w:p w:rsidR="00BF32EF" w:rsidRDefault="00BF32EF" w:rsidP="00BF32EF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F504A9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F504A9">
              <w:rPr>
                <w:rFonts w:cs="Arial"/>
                <w:sz w:val="26"/>
                <w:lang w:val="de-CH"/>
              </w:rPr>
            </w:r>
            <w:r w:rsidR="00F504A9">
              <w:rPr>
                <w:rFonts w:cs="Arial"/>
                <w:sz w:val="26"/>
                <w:lang w:val="de-CH"/>
              </w:rPr>
              <w:fldChar w:fldCharType="separate"/>
            </w:r>
            <w:r w:rsidR="00F504A9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:rsidR="00791D18" w:rsidRDefault="00BF32EF" w:rsidP="008D6538">
            <w:pPr>
              <w:tabs>
                <w:tab w:val="left" w:pos="355"/>
                <w:tab w:val="left" w:pos="923"/>
              </w:tabs>
              <w:spacing w:before="40" w:after="240"/>
              <w:rPr>
                <w:rFonts w:cs="Arial"/>
                <w:sz w:val="26"/>
                <w:lang w:val="de-CH"/>
              </w:rPr>
            </w:pPr>
            <w:r>
              <w:rPr>
                <w:rFonts w:cs="Arial"/>
                <w:sz w:val="26"/>
                <w:lang w:val="de-CH"/>
              </w:rPr>
              <w:tab/>
            </w:r>
            <w:r w:rsidR="00F504A9">
              <w:rPr>
                <w:rFonts w:cs="Arial"/>
                <w:sz w:val="26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6"/>
                <w:lang w:val="de-CH"/>
              </w:rPr>
              <w:instrText xml:space="preserve"> FORMCHECKBOX </w:instrText>
            </w:r>
            <w:r w:rsidR="00F504A9">
              <w:rPr>
                <w:rFonts w:cs="Arial"/>
                <w:sz w:val="26"/>
                <w:lang w:val="de-CH"/>
              </w:rPr>
            </w:r>
            <w:r w:rsidR="00F504A9">
              <w:rPr>
                <w:rFonts w:cs="Arial"/>
                <w:sz w:val="26"/>
                <w:lang w:val="de-CH"/>
              </w:rPr>
              <w:fldChar w:fldCharType="separate"/>
            </w:r>
            <w:r w:rsidR="00F504A9">
              <w:rPr>
                <w:rFonts w:cs="Arial"/>
                <w:sz w:val="26"/>
                <w:lang w:val="de-CH"/>
              </w:rPr>
              <w:fldChar w:fldCharType="end"/>
            </w:r>
            <w:r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CE5981" w:rsidTr="00FC73AF">
        <w:trPr>
          <w:cantSplit/>
        </w:trPr>
        <w:tc>
          <w:tcPr>
            <w:tcW w:w="1510" w:type="dxa"/>
          </w:tcPr>
          <w:p w:rsidR="00CE5981" w:rsidRDefault="00CE5981" w:rsidP="00EC6F85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p w:rsidR="00CE5981" w:rsidRPr="00930460" w:rsidRDefault="00CE5981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B57CF" w:rsidRDefault="00CB57CF" w:rsidP="00CB57C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:rsidR="00CB57CF" w:rsidRPr="00930460" w:rsidRDefault="00CB57CF" w:rsidP="00CB57CF">
            <w:pPr>
              <w:tabs>
                <w:tab w:val="left" w:pos="355"/>
                <w:tab w:val="left" w:pos="1028"/>
              </w:tabs>
              <w:spacing w:after="120"/>
              <w:rPr>
                <w:rFonts w:cs="Arial"/>
                <w:lang w:val="de-CH"/>
              </w:rPr>
            </w:pPr>
          </w:p>
        </w:tc>
      </w:tr>
    </w:tbl>
    <w:p w:rsidR="007B1A9D" w:rsidRDefault="007B1A9D">
      <w:pPr>
        <w:rPr>
          <w:rFonts w:cs="Arial"/>
          <w:b/>
          <w:sz w:val="24"/>
          <w:szCs w:val="24"/>
          <w:lang w:val="de-CH"/>
        </w:rPr>
      </w:pPr>
    </w:p>
    <w:p w:rsidR="006D358D" w:rsidRPr="00F30B76" w:rsidRDefault="00B3395E" w:rsidP="00F30B76">
      <w:pPr>
        <w:pStyle w:val="Listenabsatz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Weitere Bemerkungen</w:t>
      </w:r>
    </w:p>
    <w:p w:rsidR="006D358D" w:rsidRPr="0086471A" w:rsidRDefault="006D358D" w:rsidP="006D358D">
      <w:pPr>
        <w:rPr>
          <w:rFonts w:cs="Arial"/>
          <w:sz w:val="22"/>
          <w:szCs w:val="22"/>
          <w:lang w:val="de-CH"/>
        </w:rPr>
      </w:pPr>
    </w:p>
    <w:tbl>
      <w:tblPr>
        <w:tblW w:w="9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33"/>
      </w:tblGrid>
      <w:tr w:rsidR="00C626AB" w:rsidTr="00F30B76">
        <w:trPr>
          <w:trHeight w:val="3402"/>
        </w:trPr>
        <w:tc>
          <w:tcPr>
            <w:tcW w:w="9433" w:type="dxa"/>
          </w:tcPr>
          <w:p w:rsidR="00C626AB" w:rsidRDefault="00C626AB" w:rsidP="006D358D">
            <w:pPr>
              <w:spacing w:before="40" w:after="40"/>
              <w:rPr>
                <w:rFonts w:cs="Arial"/>
                <w:lang w:val="de-CH"/>
              </w:rPr>
            </w:pPr>
          </w:p>
          <w:p w:rsidR="00C626AB" w:rsidRDefault="00C626AB" w:rsidP="006D358D">
            <w:pPr>
              <w:spacing w:before="40" w:after="40"/>
              <w:jc w:val="right"/>
              <w:rPr>
                <w:rFonts w:cs="Arial"/>
                <w:sz w:val="22"/>
                <w:lang w:val="de-CH"/>
              </w:rPr>
            </w:pPr>
          </w:p>
        </w:tc>
      </w:tr>
    </w:tbl>
    <w:p w:rsidR="006D358D" w:rsidRDefault="006D358D">
      <w:pPr>
        <w:rPr>
          <w:sz w:val="22"/>
          <w:szCs w:val="22"/>
        </w:rPr>
      </w:pPr>
    </w:p>
    <w:p w:rsidR="006D358D" w:rsidRDefault="006D358D" w:rsidP="006D358D">
      <w:pPr>
        <w:tabs>
          <w:tab w:val="left" w:pos="405"/>
        </w:tabs>
        <w:ind w:left="426" w:hanging="426"/>
        <w:rPr>
          <w:rFonts w:cs="Arial"/>
          <w:lang w:val="de-CH"/>
        </w:rPr>
      </w:pPr>
      <w:r w:rsidRPr="007C1DC5">
        <w:rPr>
          <w:rFonts w:cs="Arial"/>
          <w:lang w:val="de-CH"/>
        </w:rPr>
        <w:t>Wir danken Ihnen im Voraus für das Ausfüllen des Fragebogens</w:t>
      </w:r>
      <w:r>
        <w:rPr>
          <w:rFonts w:cs="Arial"/>
          <w:lang w:val="de-CH"/>
        </w:rPr>
        <w:t xml:space="preserve"> </w:t>
      </w:r>
      <w:r w:rsidRPr="00713417">
        <w:rPr>
          <w:b/>
          <w:u w:val="single"/>
        </w:rPr>
        <w:t>bis spätestens</w:t>
      </w:r>
      <w:r w:rsidR="00CD78EE">
        <w:rPr>
          <w:b/>
          <w:u w:val="single"/>
        </w:rPr>
        <w:t xml:space="preserve"> 1</w:t>
      </w:r>
      <w:r w:rsidR="00310D37">
        <w:rPr>
          <w:b/>
          <w:u w:val="single"/>
        </w:rPr>
        <w:t>5</w:t>
      </w:r>
      <w:r w:rsidR="00B3395E">
        <w:rPr>
          <w:b/>
          <w:u w:val="single"/>
        </w:rPr>
        <w:t>. </w:t>
      </w:r>
      <w:r w:rsidR="00CD78EE">
        <w:rPr>
          <w:b/>
          <w:u w:val="single"/>
        </w:rPr>
        <w:t>Oktober 2013</w:t>
      </w:r>
      <w:r w:rsidRPr="00383CD6">
        <w:rPr>
          <w:b/>
        </w:rPr>
        <w:t>.</w:t>
      </w:r>
    </w:p>
    <w:p w:rsidR="006D358D" w:rsidRDefault="006D358D" w:rsidP="006D358D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:rsidR="007726C9" w:rsidRDefault="006D358D" w:rsidP="00F30B76">
      <w:pPr>
        <w:tabs>
          <w:tab w:val="left" w:pos="0"/>
        </w:tabs>
        <w:ind w:right="-286"/>
        <w:rPr>
          <w:sz w:val="22"/>
          <w:szCs w:val="22"/>
        </w:rPr>
      </w:pPr>
      <w:r>
        <w:t>Um die Verarbeitung der Antworten zu erleichtern, sind wir Ihnen dankbar, wenn Sie uns die Antworten per Mail an</w:t>
      </w:r>
      <w:hyperlink r:id="rId8" w:history="1">
        <w:r w:rsidRPr="002E183E">
          <w:rPr>
            <w:rStyle w:val="Hyperlink"/>
            <w:rFonts w:cs="Arial"/>
            <w:u w:val="none"/>
            <w:lang w:val="de-CH"/>
          </w:rPr>
          <w:t xml:space="preserve"> </w:t>
        </w:r>
        <w:r w:rsidRPr="000D3835">
          <w:rPr>
            <w:rStyle w:val="Hyperlink"/>
            <w:rFonts w:cs="Arial"/>
            <w:lang w:val="de-CH"/>
          </w:rPr>
          <w:t>finanzdepartement@ow.ch</w:t>
        </w:r>
      </w:hyperlink>
      <w:r>
        <w:t xml:space="preserve"> zustellen. Der Fragebogen ist </w:t>
      </w:r>
      <w:r w:rsidR="00887E7A">
        <w:t>unter</w:t>
      </w:r>
      <w:r>
        <w:t xml:space="preserve"> </w:t>
      </w:r>
      <w:hyperlink r:id="rId9" w:history="1">
        <w:r w:rsidRPr="00D81E05">
          <w:rPr>
            <w:rStyle w:val="Hyperlink"/>
          </w:rPr>
          <w:t>www.ow.ch</w:t>
        </w:r>
      </w:hyperlink>
      <w:r>
        <w:t xml:space="preserve"> elektronisch abrufbar.</w:t>
      </w:r>
      <w:r w:rsidR="00F30B76">
        <w:t xml:space="preserve"> </w:t>
      </w:r>
      <w:r>
        <w:t xml:space="preserve">Postalische Eingaben bitte an </w:t>
      </w:r>
      <w:r w:rsidRPr="007C1DC5">
        <w:rPr>
          <w:rFonts w:cs="Arial"/>
          <w:lang w:val="de-CH"/>
        </w:rPr>
        <w:t xml:space="preserve">Finanzdepartement </w:t>
      </w:r>
      <w:r>
        <w:rPr>
          <w:rFonts w:cs="Arial"/>
          <w:lang w:val="de-CH"/>
        </w:rPr>
        <w:t>Obwalden, St. Antonistrasse 4</w:t>
      </w:r>
      <w:r w:rsidRPr="007C1DC5">
        <w:rPr>
          <w:rFonts w:cs="Arial"/>
          <w:lang w:val="de-CH"/>
        </w:rPr>
        <w:t>, 606</w:t>
      </w:r>
      <w:r>
        <w:rPr>
          <w:rFonts w:cs="Arial"/>
          <w:lang w:val="de-CH"/>
        </w:rPr>
        <w:t>0</w:t>
      </w:r>
      <w:r w:rsidRPr="007C1DC5">
        <w:rPr>
          <w:rFonts w:cs="Arial"/>
          <w:lang w:val="de-CH"/>
        </w:rPr>
        <w:t xml:space="preserve"> Sarnen</w:t>
      </w:r>
      <w:r>
        <w:rPr>
          <w:rFonts w:cs="Arial"/>
          <w:lang w:val="de-CH"/>
        </w:rPr>
        <w:t>.</w:t>
      </w:r>
    </w:p>
    <w:sectPr w:rsidR="007726C9" w:rsidSect="003D3B28">
      <w:headerReference w:type="default" r:id="rId10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7E3" w:rsidRDefault="00F007E3">
      <w:r>
        <w:separator/>
      </w:r>
    </w:p>
  </w:endnote>
  <w:endnote w:type="continuationSeparator" w:id="0">
    <w:p w:rsidR="00F007E3" w:rsidRDefault="00F0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7E3" w:rsidRDefault="00F007E3">
      <w:r>
        <w:separator/>
      </w:r>
    </w:p>
  </w:footnote>
  <w:footnote w:type="continuationSeparator" w:id="0">
    <w:p w:rsidR="00F007E3" w:rsidRDefault="00F00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E3" w:rsidRDefault="00F007E3">
    <w:pPr>
      <w:pStyle w:val="Kopfzeile"/>
      <w:jc w:val="center"/>
    </w:pPr>
    <w:r>
      <w:rPr>
        <w:rStyle w:val="Seitenzahl"/>
      </w:rPr>
      <w:t xml:space="preserve">– </w:t>
    </w:r>
    <w:r w:rsidR="00F504A9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F504A9">
      <w:rPr>
        <w:rStyle w:val="Seitenzahl"/>
      </w:rPr>
      <w:fldChar w:fldCharType="separate"/>
    </w:r>
    <w:r w:rsidR="007C601A">
      <w:rPr>
        <w:rStyle w:val="Seitenzahl"/>
        <w:noProof/>
      </w:rPr>
      <w:t>2</w:t>
    </w:r>
    <w:r w:rsidR="00F504A9">
      <w:rPr>
        <w:rStyle w:val="Seitenzahl"/>
      </w:rPr>
      <w:fldChar w:fldCharType="end"/>
    </w:r>
    <w:r>
      <w:rPr>
        <w:rStyle w:val="Seitenzahl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714"/>
    <w:multiLevelType w:val="hybridMultilevel"/>
    <w:tmpl w:val="94064258"/>
    <w:lvl w:ilvl="0" w:tplc="713EDCA0">
      <w:start w:val="3"/>
      <w:numFmt w:val="bullet"/>
      <w:lvlText w:val=""/>
      <w:lvlJc w:val="left"/>
      <w:pPr>
        <w:tabs>
          <w:tab w:val="num" w:pos="1002"/>
        </w:tabs>
        <w:ind w:left="1002" w:hanging="43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A79783F"/>
    <w:multiLevelType w:val="hybridMultilevel"/>
    <w:tmpl w:val="5A9A1D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96E7C"/>
    <w:multiLevelType w:val="hybridMultilevel"/>
    <w:tmpl w:val="BD563702"/>
    <w:lvl w:ilvl="0" w:tplc="CC2EA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9194E"/>
    <w:multiLevelType w:val="hybridMultilevel"/>
    <w:tmpl w:val="3ED600B4"/>
    <w:lvl w:ilvl="0" w:tplc="47B2D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C54F3"/>
    <w:multiLevelType w:val="hybridMultilevel"/>
    <w:tmpl w:val="472818C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A65E5"/>
    <w:multiLevelType w:val="hybridMultilevel"/>
    <w:tmpl w:val="8684E29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531E5"/>
    <w:multiLevelType w:val="hybridMultilevel"/>
    <w:tmpl w:val="AFBA085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A6C7B"/>
    <w:multiLevelType w:val="hybridMultilevel"/>
    <w:tmpl w:val="D282846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06FA4"/>
    <w:multiLevelType w:val="hybridMultilevel"/>
    <w:tmpl w:val="7A42C81C"/>
    <w:lvl w:ilvl="0" w:tplc="8B7A5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F7B3F"/>
    <w:multiLevelType w:val="hybridMultilevel"/>
    <w:tmpl w:val="BD563702"/>
    <w:lvl w:ilvl="0" w:tplc="CC2EA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de-CH" w:vendorID="9" w:dllVersion="512" w:checkStyle="1"/>
  <w:activeWritingStyle w:appName="MSWord" w:lang="de-CH" w:vendorID="3" w:dllVersion="517" w:checkStyle="1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B7B"/>
    <w:rsid w:val="00001645"/>
    <w:rsid w:val="00010BEC"/>
    <w:rsid w:val="00025B49"/>
    <w:rsid w:val="00027201"/>
    <w:rsid w:val="0002727F"/>
    <w:rsid w:val="00037C7C"/>
    <w:rsid w:val="000646D3"/>
    <w:rsid w:val="000707A3"/>
    <w:rsid w:val="000827B4"/>
    <w:rsid w:val="00082D5C"/>
    <w:rsid w:val="00083CA5"/>
    <w:rsid w:val="000A2EF0"/>
    <w:rsid w:val="000A3755"/>
    <w:rsid w:val="000B0051"/>
    <w:rsid w:val="000B6358"/>
    <w:rsid w:val="000B69A4"/>
    <w:rsid w:val="000D1C1D"/>
    <w:rsid w:val="000E32FA"/>
    <w:rsid w:val="000F494B"/>
    <w:rsid w:val="000F5C63"/>
    <w:rsid w:val="000F7DF7"/>
    <w:rsid w:val="00101775"/>
    <w:rsid w:val="00102E1B"/>
    <w:rsid w:val="00103A87"/>
    <w:rsid w:val="001521A6"/>
    <w:rsid w:val="001556BA"/>
    <w:rsid w:val="00160324"/>
    <w:rsid w:val="00170A0D"/>
    <w:rsid w:val="00174A4F"/>
    <w:rsid w:val="00190CA8"/>
    <w:rsid w:val="001A2E20"/>
    <w:rsid w:val="001A3B85"/>
    <w:rsid w:val="001A4B7A"/>
    <w:rsid w:val="001C3302"/>
    <w:rsid w:val="001C7068"/>
    <w:rsid w:val="001D3D04"/>
    <w:rsid w:val="001E2B10"/>
    <w:rsid w:val="001F3A61"/>
    <w:rsid w:val="00225976"/>
    <w:rsid w:val="00225B82"/>
    <w:rsid w:val="00251BE9"/>
    <w:rsid w:val="0025316C"/>
    <w:rsid w:val="00267F55"/>
    <w:rsid w:val="00281C41"/>
    <w:rsid w:val="0028768B"/>
    <w:rsid w:val="00295006"/>
    <w:rsid w:val="00297077"/>
    <w:rsid w:val="002A3EB2"/>
    <w:rsid w:val="002A4B8B"/>
    <w:rsid w:val="002B4DD7"/>
    <w:rsid w:val="002B7B7B"/>
    <w:rsid w:val="002E183E"/>
    <w:rsid w:val="002E41C4"/>
    <w:rsid w:val="002E70DC"/>
    <w:rsid w:val="002F08DD"/>
    <w:rsid w:val="00304DDA"/>
    <w:rsid w:val="00310D37"/>
    <w:rsid w:val="0031498C"/>
    <w:rsid w:val="00315DA1"/>
    <w:rsid w:val="00321E61"/>
    <w:rsid w:val="00332467"/>
    <w:rsid w:val="0033788F"/>
    <w:rsid w:val="00346547"/>
    <w:rsid w:val="0035024E"/>
    <w:rsid w:val="003510F6"/>
    <w:rsid w:val="003520ED"/>
    <w:rsid w:val="00364C74"/>
    <w:rsid w:val="003733B1"/>
    <w:rsid w:val="00383CD6"/>
    <w:rsid w:val="00387E00"/>
    <w:rsid w:val="00392479"/>
    <w:rsid w:val="00395BA8"/>
    <w:rsid w:val="003A3223"/>
    <w:rsid w:val="003A5DDB"/>
    <w:rsid w:val="003B1CB1"/>
    <w:rsid w:val="003C12F4"/>
    <w:rsid w:val="003D3B28"/>
    <w:rsid w:val="003D614C"/>
    <w:rsid w:val="003D68A2"/>
    <w:rsid w:val="003E1A87"/>
    <w:rsid w:val="004042EE"/>
    <w:rsid w:val="00412FBA"/>
    <w:rsid w:val="00416E2D"/>
    <w:rsid w:val="00435DDB"/>
    <w:rsid w:val="00440A96"/>
    <w:rsid w:val="00445813"/>
    <w:rsid w:val="00445E89"/>
    <w:rsid w:val="004507C0"/>
    <w:rsid w:val="00457C94"/>
    <w:rsid w:val="00475E5E"/>
    <w:rsid w:val="00482766"/>
    <w:rsid w:val="00483580"/>
    <w:rsid w:val="004B1A8B"/>
    <w:rsid w:val="004C07E7"/>
    <w:rsid w:val="004C1EA5"/>
    <w:rsid w:val="004D3742"/>
    <w:rsid w:val="004D6D6A"/>
    <w:rsid w:val="004E77AE"/>
    <w:rsid w:val="004F27B5"/>
    <w:rsid w:val="0050202F"/>
    <w:rsid w:val="00505972"/>
    <w:rsid w:val="00516E92"/>
    <w:rsid w:val="005171D8"/>
    <w:rsid w:val="00531200"/>
    <w:rsid w:val="0053328D"/>
    <w:rsid w:val="00537284"/>
    <w:rsid w:val="00537B40"/>
    <w:rsid w:val="00542A17"/>
    <w:rsid w:val="00545375"/>
    <w:rsid w:val="005455B9"/>
    <w:rsid w:val="00554EBB"/>
    <w:rsid w:val="00555256"/>
    <w:rsid w:val="00557CAA"/>
    <w:rsid w:val="00572F83"/>
    <w:rsid w:val="005776DF"/>
    <w:rsid w:val="005A5C44"/>
    <w:rsid w:val="005B32AC"/>
    <w:rsid w:val="005E0674"/>
    <w:rsid w:val="005E0686"/>
    <w:rsid w:val="005E4DC6"/>
    <w:rsid w:val="00600961"/>
    <w:rsid w:val="006077D1"/>
    <w:rsid w:val="00621F43"/>
    <w:rsid w:val="00634B2E"/>
    <w:rsid w:val="00656A5B"/>
    <w:rsid w:val="0067302F"/>
    <w:rsid w:val="00673B59"/>
    <w:rsid w:val="00673B91"/>
    <w:rsid w:val="00681291"/>
    <w:rsid w:val="00682A97"/>
    <w:rsid w:val="0068561E"/>
    <w:rsid w:val="006B1E7D"/>
    <w:rsid w:val="006B30D6"/>
    <w:rsid w:val="006B411C"/>
    <w:rsid w:val="006C0678"/>
    <w:rsid w:val="006D358D"/>
    <w:rsid w:val="006E07BE"/>
    <w:rsid w:val="00730A29"/>
    <w:rsid w:val="00735A4F"/>
    <w:rsid w:val="00760CCD"/>
    <w:rsid w:val="007726C9"/>
    <w:rsid w:val="007746B5"/>
    <w:rsid w:val="00777116"/>
    <w:rsid w:val="00780542"/>
    <w:rsid w:val="00781993"/>
    <w:rsid w:val="00791261"/>
    <w:rsid w:val="00791D18"/>
    <w:rsid w:val="007976AE"/>
    <w:rsid w:val="007A2A87"/>
    <w:rsid w:val="007B1A9D"/>
    <w:rsid w:val="007B4448"/>
    <w:rsid w:val="007B6199"/>
    <w:rsid w:val="007C1DC5"/>
    <w:rsid w:val="007C44CB"/>
    <w:rsid w:val="007C601A"/>
    <w:rsid w:val="007C7569"/>
    <w:rsid w:val="007D3314"/>
    <w:rsid w:val="007D68DF"/>
    <w:rsid w:val="007F14D6"/>
    <w:rsid w:val="008426CD"/>
    <w:rsid w:val="00842B54"/>
    <w:rsid w:val="00855F39"/>
    <w:rsid w:val="0086471A"/>
    <w:rsid w:val="0086505E"/>
    <w:rsid w:val="008735CE"/>
    <w:rsid w:val="00874B56"/>
    <w:rsid w:val="00875DA5"/>
    <w:rsid w:val="00880264"/>
    <w:rsid w:val="00883BB1"/>
    <w:rsid w:val="00887E7A"/>
    <w:rsid w:val="008C0599"/>
    <w:rsid w:val="008D6538"/>
    <w:rsid w:val="008E04DE"/>
    <w:rsid w:val="008E318A"/>
    <w:rsid w:val="008E36AC"/>
    <w:rsid w:val="009212DD"/>
    <w:rsid w:val="00924B4F"/>
    <w:rsid w:val="00930460"/>
    <w:rsid w:val="009326ED"/>
    <w:rsid w:val="009377C1"/>
    <w:rsid w:val="00945DBD"/>
    <w:rsid w:val="009463F2"/>
    <w:rsid w:val="00952AA7"/>
    <w:rsid w:val="00955E2A"/>
    <w:rsid w:val="00963D70"/>
    <w:rsid w:val="00972C4C"/>
    <w:rsid w:val="009758EF"/>
    <w:rsid w:val="009870A4"/>
    <w:rsid w:val="009946E7"/>
    <w:rsid w:val="009A0881"/>
    <w:rsid w:val="009A15C7"/>
    <w:rsid w:val="009C0C11"/>
    <w:rsid w:val="009C1FBA"/>
    <w:rsid w:val="009C5290"/>
    <w:rsid w:val="009D4029"/>
    <w:rsid w:val="009E000E"/>
    <w:rsid w:val="009E2C9F"/>
    <w:rsid w:val="009E52B8"/>
    <w:rsid w:val="009F4D51"/>
    <w:rsid w:val="00A0020B"/>
    <w:rsid w:val="00A03EF4"/>
    <w:rsid w:val="00A074AD"/>
    <w:rsid w:val="00A10EDB"/>
    <w:rsid w:val="00A12C2D"/>
    <w:rsid w:val="00A2148E"/>
    <w:rsid w:val="00A217A0"/>
    <w:rsid w:val="00A25C2F"/>
    <w:rsid w:val="00A30718"/>
    <w:rsid w:val="00A31868"/>
    <w:rsid w:val="00A31C34"/>
    <w:rsid w:val="00A3301B"/>
    <w:rsid w:val="00A3548D"/>
    <w:rsid w:val="00A408CD"/>
    <w:rsid w:val="00A43885"/>
    <w:rsid w:val="00A4529A"/>
    <w:rsid w:val="00A54690"/>
    <w:rsid w:val="00A57E03"/>
    <w:rsid w:val="00A6790F"/>
    <w:rsid w:val="00A76717"/>
    <w:rsid w:val="00A80A21"/>
    <w:rsid w:val="00AA691A"/>
    <w:rsid w:val="00AB707B"/>
    <w:rsid w:val="00AC6730"/>
    <w:rsid w:val="00AE612B"/>
    <w:rsid w:val="00AF250C"/>
    <w:rsid w:val="00AF5723"/>
    <w:rsid w:val="00B04D60"/>
    <w:rsid w:val="00B110CF"/>
    <w:rsid w:val="00B1277F"/>
    <w:rsid w:val="00B17BA6"/>
    <w:rsid w:val="00B210E1"/>
    <w:rsid w:val="00B3395E"/>
    <w:rsid w:val="00B43929"/>
    <w:rsid w:val="00B43D04"/>
    <w:rsid w:val="00B52234"/>
    <w:rsid w:val="00B53E8D"/>
    <w:rsid w:val="00B5712E"/>
    <w:rsid w:val="00B574C1"/>
    <w:rsid w:val="00B628D1"/>
    <w:rsid w:val="00B67921"/>
    <w:rsid w:val="00B71341"/>
    <w:rsid w:val="00B7544B"/>
    <w:rsid w:val="00B83A20"/>
    <w:rsid w:val="00BA2453"/>
    <w:rsid w:val="00BA4943"/>
    <w:rsid w:val="00BC1B13"/>
    <w:rsid w:val="00BC32D9"/>
    <w:rsid w:val="00BC7EBF"/>
    <w:rsid w:val="00BD1924"/>
    <w:rsid w:val="00BD74AA"/>
    <w:rsid w:val="00BF32EF"/>
    <w:rsid w:val="00C03B69"/>
    <w:rsid w:val="00C0741A"/>
    <w:rsid w:val="00C106B4"/>
    <w:rsid w:val="00C15511"/>
    <w:rsid w:val="00C16224"/>
    <w:rsid w:val="00C30B8F"/>
    <w:rsid w:val="00C32541"/>
    <w:rsid w:val="00C46AB9"/>
    <w:rsid w:val="00C47FAC"/>
    <w:rsid w:val="00C54064"/>
    <w:rsid w:val="00C562AC"/>
    <w:rsid w:val="00C61083"/>
    <w:rsid w:val="00C626AB"/>
    <w:rsid w:val="00C71AA0"/>
    <w:rsid w:val="00C80C90"/>
    <w:rsid w:val="00C925F4"/>
    <w:rsid w:val="00CB57CF"/>
    <w:rsid w:val="00CC67DF"/>
    <w:rsid w:val="00CD78EE"/>
    <w:rsid w:val="00CE25BA"/>
    <w:rsid w:val="00CE5981"/>
    <w:rsid w:val="00CF0CCC"/>
    <w:rsid w:val="00CF3D23"/>
    <w:rsid w:val="00D1293F"/>
    <w:rsid w:val="00D12E8F"/>
    <w:rsid w:val="00D24B92"/>
    <w:rsid w:val="00D42A6F"/>
    <w:rsid w:val="00D45181"/>
    <w:rsid w:val="00D66347"/>
    <w:rsid w:val="00D74376"/>
    <w:rsid w:val="00D81E05"/>
    <w:rsid w:val="00D842F7"/>
    <w:rsid w:val="00D84C95"/>
    <w:rsid w:val="00D963A8"/>
    <w:rsid w:val="00D97B72"/>
    <w:rsid w:val="00DA3184"/>
    <w:rsid w:val="00DA3818"/>
    <w:rsid w:val="00DB3D19"/>
    <w:rsid w:val="00DB3EFC"/>
    <w:rsid w:val="00DB7414"/>
    <w:rsid w:val="00DC5C80"/>
    <w:rsid w:val="00DD331F"/>
    <w:rsid w:val="00DD5D90"/>
    <w:rsid w:val="00DE26CA"/>
    <w:rsid w:val="00E04152"/>
    <w:rsid w:val="00E104A0"/>
    <w:rsid w:val="00E1089A"/>
    <w:rsid w:val="00E22C4E"/>
    <w:rsid w:val="00E23550"/>
    <w:rsid w:val="00E26707"/>
    <w:rsid w:val="00E34DDA"/>
    <w:rsid w:val="00E366AC"/>
    <w:rsid w:val="00E65957"/>
    <w:rsid w:val="00E770B7"/>
    <w:rsid w:val="00E8557D"/>
    <w:rsid w:val="00E9531C"/>
    <w:rsid w:val="00EA2169"/>
    <w:rsid w:val="00EB1D44"/>
    <w:rsid w:val="00EB5389"/>
    <w:rsid w:val="00EB552D"/>
    <w:rsid w:val="00EC6F85"/>
    <w:rsid w:val="00ED0D82"/>
    <w:rsid w:val="00ED4A73"/>
    <w:rsid w:val="00ED61B6"/>
    <w:rsid w:val="00ED751B"/>
    <w:rsid w:val="00EF20DD"/>
    <w:rsid w:val="00EF20EE"/>
    <w:rsid w:val="00EF5B0F"/>
    <w:rsid w:val="00F007E3"/>
    <w:rsid w:val="00F13CB9"/>
    <w:rsid w:val="00F30B76"/>
    <w:rsid w:val="00F363EF"/>
    <w:rsid w:val="00F4121E"/>
    <w:rsid w:val="00F45C94"/>
    <w:rsid w:val="00F504A9"/>
    <w:rsid w:val="00F64E97"/>
    <w:rsid w:val="00F75A42"/>
    <w:rsid w:val="00F77D61"/>
    <w:rsid w:val="00FB2C7F"/>
    <w:rsid w:val="00FC4E83"/>
    <w:rsid w:val="00FC71EE"/>
    <w:rsid w:val="00FC73AF"/>
    <w:rsid w:val="00FD7E18"/>
    <w:rsid w:val="00FE0182"/>
    <w:rsid w:val="00FF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3B28"/>
    <w:rPr>
      <w:rFonts w:ascii="Arial" w:hAnsi="Arial"/>
      <w:lang w:val="es-ES_tradnl" w:eastAsia="de-DE"/>
    </w:rPr>
  </w:style>
  <w:style w:type="paragraph" w:styleId="berschrift1">
    <w:name w:val="heading 1"/>
    <w:basedOn w:val="Standard"/>
    <w:next w:val="Standard"/>
    <w:qFormat/>
    <w:rsid w:val="003D3B28"/>
    <w:pPr>
      <w:keepNext/>
      <w:outlineLvl w:val="0"/>
    </w:pPr>
    <w:rPr>
      <w:rFonts w:cs="Arial"/>
      <w:i/>
      <w:i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D3B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D3B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D3B28"/>
  </w:style>
  <w:style w:type="character" w:styleId="Hyperlink">
    <w:name w:val="Hyperlink"/>
    <w:basedOn w:val="Absatz-Standardschriftart"/>
    <w:semiHidden/>
    <w:rsid w:val="003D3B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7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766"/>
    <w:rPr>
      <w:rFonts w:ascii="Tahoma" w:hAnsi="Tahoma" w:cs="Tahoma"/>
      <w:sz w:val="16"/>
      <w:szCs w:val="16"/>
      <w:lang w:val="es-ES_tradnl" w:eastAsia="de-DE"/>
    </w:rPr>
  </w:style>
  <w:style w:type="paragraph" w:styleId="Listenabsatz">
    <w:name w:val="List Paragraph"/>
    <w:basedOn w:val="Standard"/>
    <w:uiPriority w:val="34"/>
    <w:qFormat/>
    <w:rsid w:val="00297077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297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64E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E9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4E97"/>
    <w:rPr>
      <w:rFonts w:ascii="Arial" w:hAnsi="Arial"/>
      <w:lang w:val="es-ES_tradnl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E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4E97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160324"/>
    <w:rPr>
      <w:rFonts w:ascii="Arial" w:hAnsi="Arial"/>
      <w:lang w:val="es-ES_tradnl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finanzdepartement@ow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w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61C90-C744-4A72-B1A0-511AEE54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InformatikLeistungsZentrum</Company>
  <LinksUpToDate>false</LinksUpToDate>
  <CharactersWithSpaces>3280</CharactersWithSpaces>
  <SharedDoc>false</SharedDoc>
  <HLinks>
    <vt:vector size="6" baseType="variant"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mailto:christoph.niederberger@ow.ch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InformatikLeistungsZentrum</dc:creator>
  <cp:keywords/>
  <dc:description/>
  <cp:lastModifiedBy>Seraina Grünig</cp:lastModifiedBy>
  <cp:revision>2</cp:revision>
  <cp:lastPrinted>2013-08-05T11:37:00Z</cp:lastPrinted>
  <dcterms:created xsi:type="dcterms:W3CDTF">2013-08-21T08:41:00Z</dcterms:created>
  <dcterms:modified xsi:type="dcterms:W3CDTF">2013-08-21T08:41:00Z</dcterms:modified>
</cp:coreProperties>
</file>